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CA61C" w14:textId="17E92E3F" w:rsidR="00A111EA" w:rsidRPr="001B72D8" w:rsidRDefault="00A111EA" w:rsidP="00AF30EE">
      <w:pPr>
        <w:jc w:val="center"/>
        <w:rPr>
          <w:rFonts w:asciiTheme="majorHAnsi" w:hAnsiTheme="majorHAnsi"/>
        </w:rPr>
      </w:pPr>
      <w:r w:rsidRPr="001B72D8">
        <w:rPr>
          <w:rFonts w:asciiTheme="majorHAnsi" w:hAnsiTheme="majorHAnsi"/>
          <w:b/>
          <w:bCs/>
        </w:rPr>
        <w:t>GOVERNMENT OF GRENADA</w:t>
      </w:r>
    </w:p>
    <w:p w14:paraId="0C16B3F7" w14:textId="7C4E18C4" w:rsidR="00A111EA" w:rsidRPr="00460355" w:rsidRDefault="00AF30EE" w:rsidP="00AF30EE">
      <w:pPr>
        <w:jc w:val="center"/>
        <w:rPr>
          <w:rFonts w:asciiTheme="majorHAnsi" w:hAnsiTheme="majorHAnsi"/>
        </w:rPr>
      </w:pPr>
      <w:r w:rsidRPr="00460355">
        <w:rPr>
          <w:rFonts w:asciiTheme="majorHAnsi" w:hAnsiTheme="majorHAnsi"/>
          <w:b/>
          <w:bCs/>
        </w:rPr>
        <w:t xml:space="preserve">INVITATION TO </w:t>
      </w:r>
      <w:r w:rsidR="00A111EA" w:rsidRPr="00460355">
        <w:rPr>
          <w:rFonts w:asciiTheme="majorHAnsi" w:hAnsiTheme="majorHAnsi"/>
          <w:b/>
          <w:bCs/>
        </w:rPr>
        <w:t>EARLY MARKET ENGAGEMENT</w:t>
      </w:r>
      <w:r w:rsidR="00FC5FBF" w:rsidRPr="00460355">
        <w:rPr>
          <w:rFonts w:asciiTheme="majorHAnsi" w:hAnsiTheme="majorHAnsi"/>
          <w:b/>
          <w:bCs/>
        </w:rPr>
        <w:t xml:space="preserve"> ON THE CARIBBEAN DEVELOPMENT BANK (CDB)/WORLD BANK (WB) FINANCED 10.6 MW/21.2MWh BATTERY ENERGY STORAGE SYSTEMS AT MAURICE BISHOP INTERNATIONAL AIRPORT</w:t>
      </w:r>
    </w:p>
    <w:p w14:paraId="5E02C386" w14:textId="49A64ED9" w:rsidR="00A111EA" w:rsidRPr="00460355" w:rsidRDefault="00A111EA" w:rsidP="00AF30EE">
      <w:pPr>
        <w:jc w:val="center"/>
        <w:rPr>
          <w:rFonts w:asciiTheme="majorHAnsi" w:hAnsiTheme="majorHAnsi"/>
          <w:b/>
          <w:bCs/>
        </w:rPr>
      </w:pPr>
      <w:r w:rsidRPr="00460355">
        <w:rPr>
          <w:rFonts w:asciiTheme="majorHAnsi" w:hAnsiTheme="majorHAnsi"/>
          <w:b/>
          <w:bCs/>
        </w:rPr>
        <w:t xml:space="preserve">DESIGN, SUPPLY, INSTALLATION, AND COMMISSIONING OF BATTERY ENERGY STORAGE SYSTEMS </w:t>
      </w:r>
    </w:p>
    <w:p w14:paraId="3F48275B" w14:textId="77777777" w:rsidR="005871A7" w:rsidRPr="00460355" w:rsidRDefault="005871A7" w:rsidP="00AF30EE">
      <w:pPr>
        <w:jc w:val="center"/>
        <w:rPr>
          <w:rFonts w:asciiTheme="majorHAnsi" w:hAnsiTheme="majorHAnsi"/>
        </w:rPr>
      </w:pPr>
    </w:p>
    <w:p w14:paraId="347B63BA" w14:textId="3DC1226A" w:rsidR="00A111EA" w:rsidRPr="00460355" w:rsidRDefault="00A111EA" w:rsidP="005871A7">
      <w:pPr>
        <w:pStyle w:val="ListParagraph"/>
        <w:numPr>
          <w:ilvl w:val="0"/>
          <w:numId w:val="7"/>
        </w:numPr>
        <w:rPr>
          <w:b/>
          <w:bCs/>
          <w:sz w:val="22"/>
          <w:szCs w:val="22"/>
        </w:rPr>
      </w:pPr>
      <w:r w:rsidRPr="00460355">
        <w:rPr>
          <w:b/>
          <w:bCs/>
          <w:sz w:val="22"/>
          <w:szCs w:val="22"/>
        </w:rPr>
        <w:t xml:space="preserve">Event Information </w:t>
      </w:r>
    </w:p>
    <w:p w14:paraId="7CAD9907" w14:textId="765DA67D" w:rsidR="00A111EA" w:rsidRPr="001B72D8" w:rsidRDefault="00A111EA" w:rsidP="00C26C78">
      <w:pPr>
        <w:numPr>
          <w:ilvl w:val="0"/>
          <w:numId w:val="8"/>
        </w:numPr>
        <w:spacing w:after="0"/>
        <w:ind w:left="360"/>
        <w:rPr>
          <w:sz w:val="22"/>
          <w:szCs w:val="22"/>
        </w:rPr>
      </w:pPr>
      <w:r w:rsidRPr="00460355">
        <w:rPr>
          <w:b/>
          <w:bCs/>
          <w:sz w:val="22"/>
          <w:szCs w:val="22"/>
        </w:rPr>
        <w:t xml:space="preserve">Date: </w:t>
      </w:r>
      <w:r w:rsidR="00DA5464" w:rsidRPr="001B72D8">
        <w:rPr>
          <w:rFonts w:hint="eastAsia"/>
          <w:sz w:val="22"/>
          <w:szCs w:val="22"/>
          <w:lang w:eastAsia="ko-KR"/>
        </w:rPr>
        <w:t>March 30, 2026</w:t>
      </w:r>
    </w:p>
    <w:p w14:paraId="2AD4A62B" w14:textId="1DA44210" w:rsidR="00A111EA" w:rsidRPr="00460355" w:rsidRDefault="00A111EA" w:rsidP="00C26C78">
      <w:pPr>
        <w:numPr>
          <w:ilvl w:val="0"/>
          <w:numId w:val="8"/>
        </w:numPr>
        <w:spacing w:after="0"/>
        <w:ind w:left="360"/>
        <w:rPr>
          <w:sz w:val="22"/>
          <w:szCs w:val="22"/>
        </w:rPr>
      </w:pPr>
      <w:r w:rsidRPr="00460355">
        <w:rPr>
          <w:b/>
          <w:bCs/>
          <w:sz w:val="22"/>
          <w:szCs w:val="22"/>
        </w:rPr>
        <w:t xml:space="preserve">Time: </w:t>
      </w:r>
      <w:r w:rsidR="0000595B" w:rsidRPr="00460355">
        <w:rPr>
          <w:rFonts w:hint="eastAsia"/>
          <w:sz w:val="22"/>
          <w:szCs w:val="22"/>
          <w:lang w:eastAsia="ko-KR"/>
        </w:rPr>
        <w:t>9</w:t>
      </w:r>
      <w:r w:rsidRPr="00460355">
        <w:rPr>
          <w:sz w:val="22"/>
          <w:szCs w:val="22"/>
        </w:rPr>
        <w:t xml:space="preserve">:00 a.m. – </w:t>
      </w:r>
      <w:r w:rsidR="0000595B" w:rsidRPr="00460355">
        <w:rPr>
          <w:rFonts w:hint="eastAsia"/>
          <w:sz w:val="22"/>
          <w:szCs w:val="22"/>
          <w:lang w:eastAsia="ko-KR"/>
        </w:rPr>
        <w:t>11</w:t>
      </w:r>
      <w:r w:rsidRPr="00460355">
        <w:rPr>
          <w:sz w:val="22"/>
          <w:szCs w:val="22"/>
        </w:rPr>
        <w:t>:00 a.m. (</w:t>
      </w:r>
      <w:r w:rsidR="00DA5464" w:rsidRPr="00460355">
        <w:rPr>
          <w:rFonts w:hint="eastAsia"/>
          <w:sz w:val="22"/>
          <w:szCs w:val="22"/>
          <w:lang w:eastAsia="ko-KR"/>
        </w:rPr>
        <w:t>Atlantic Standard Time</w:t>
      </w:r>
      <w:r w:rsidRPr="00460355">
        <w:rPr>
          <w:sz w:val="22"/>
          <w:szCs w:val="22"/>
        </w:rPr>
        <w:t xml:space="preserve">) </w:t>
      </w:r>
    </w:p>
    <w:p w14:paraId="3AF78694" w14:textId="77777777" w:rsidR="00A111EA" w:rsidRPr="00460355" w:rsidRDefault="00A111EA" w:rsidP="00C26C78">
      <w:pPr>
        <w:numPr>
          <w:ilvl w:val="0"/>
          <w:numId w:val="8"/>
        </w:numPr>
        <w:spacing w:after="0"/>
        <w:ind w:left="360"/>
        <w:rPr>
          <w:sz w:val="22"/>
          <w:szCs w:val="22"/>
        </w:rPr>
      </w:pPr>
      <w:r w:rsidRPr="00460355">
        <w:rPr>
          <w:b/>
          <w:bCs/>
          <w:sz w:val="22"/>
          <w:szCs w:val="22"/>
        </w:rPr>
        <w:t>Location:</w:t>
      </w:r>
      <w:r w:rsidRPr="00460355">
        <w:rPr>
          <w:sz w:val="22"/>
          <w:szCs w:val="22"/>
        </w:rPr>
        <w:t xml:space="preserve"> Virtual via Microsoft Teams </w:t>
      </w:r>
    </w:p>
    <w:p w14:paraId="1E46EB5C" w14:textId="70DF17AE" w:rsidR="00CB797D" w:rsidRPr="004750EE" w:rsidRDefault="00A111EA" w:rsidP="00AD1F1B">
      <w:pPr>
        <w:numPr>
          <w:ilvl w:val="0"/>
          <w:numId w:val="8"/>
        </w:numPr>
        <w:spacing w:after="0"/>
        <w:ind w:left="360"/>
        <w:rPr>
          <w:sz w:val="22"/>
          <w:szCs w:val="22"/>
        </w:rPr>
      </w:pPr>
      <w:r w:rsidRPr="004750EE">
        <w:rPr>
          <w:b/>
          <w:bCs/>
          <w:sz w:val="22"/>
          <w:szCs w:val="22"/>
        </w:rPr>
        <w:t xml:space="preserve">Registration for the Event: </w:t>
      </w:r>
      <w:r w:rsidRPr="004750EE">
        <w:rPr>
          <w:sz w:val="22"/>
          <w:szCs w:val="22"/>
        </w:rPr>
        <w:t xml:space="preserve">Registration is required by completing the form at the following link: </w:t>
      </w:r>
      <w:hyperlink r:id="rId11" w:history="1">
        <w:r w:rsidR="004750EE">
          <w:rPr>
            <w:rStyle w:val="Hyperlink"/>
          </w:rPr>
          <w:t>Vendor Registration Grenada Battery Energy Storage Systems Project Early Market Workshop – Fill out…</w:t>
        </w:r>
      </w:hyperlink>
    </w:p>
    <w:p w14:paraId="320A77CF" w14:textId="0AA1E5CD" w:rsidR="00A111EA" w:rsidRPr="00460355" w:rsidRDefault="00C868C5" w:rsidP="00A111EA">
      <w:pPr>
        <w:rPr>
          <w:sz w:val="22"/>
          <w:szCs w:val="22"/>
        </w:rPr>
      </w:pPr>
      <w:r w:rsidRPr="00460355">
        <w:rPr>
          <w:sz w:val="22"/>
          <w:szCs w:val="22"/>
        </w:rPr>
        <w:t>Participants are kindly requested to register in advance and provide preliminary feedback through the questionnaire included in the registration form to help inform and shape the discussion.</w:t>
      </w:r>
      <w:r w:rsidR="00A111EA" w:rsidRPr="00460355">
        <w:rPr>
          <w:sz w:val="22"/>
          <w:szCs w:val="22"/>
        </w:rPr>
        <w:t xml:space="preserve"> </w:t>
      </w:r>
    </w:p>
    <w:p w14:paraId="56A3110C" w14:textId="77777777" w:rsidR="00A111EA" w:rsidRPr="00460355" w:rsidRDefault="00A111EA" w:rsidP="005871A7">
      <w:pPr>
        <w:pStyle w:val="ListParagraph"/>
        <w:numPr>
          <w:ilvl w:val="0"/>
          <w:numId w:val="7"/>
        </w:numPr>
        <w:rPr>
          <w:b/>
          <w:bCs/>
          <w:sz w:val="22"/>
          <w:szCs w:val="22"/>
        </w:rPr>
      </w:pPr>
      <w:r w:rsidRPr="00460355">
        <w:rPr>
          <w:b/>
          <w:bCs/>
          <w:sz w:val="22"/>
          <w:szCs w:val="22"/>
        </w:rPr>
        <w:t xml:space="preserve">Description </w:t>
      </w:r>
    </w:p>
    <w:p w14:paraId="023E7F80" w14:textId="04E14F19" w:rsidR="00484983" w:rsidRPr="00460355" w:rsidRDefault="005871A7" w:rsidP="00AD1F1B">
      <w:pPr>
        <w:jc w:val="both"/>
        <w:rPr>
          <w:sz w:val="22"/>
          <w:szCs w:val="22"/>
        </w:rPr>
      </w:pPr>
      <w:r w:rsidRPr="00460355">
        <w:rPr>
          <w:sz w:val="22"/>
          <w:szCs w:val="22"/>
        </w:rPr>
        <w:t xml:space="preserve">The Government of </w:t>
      </w:r>
      <w:r w:rsidR="000223BD" w:rsidRPr="00460355">
        <w:rPr>
          <w:sz w:val="22"/>
          <w:szCs w:val="22"/>
        </w:rPr>
        <w:t>Grenada</w:t>
      </w:r>
      <w:r w:rsidR="000223BD" w:rsidRPr="6ABE0AC8">
        <w:rPr>
          <w:sz w:val="22"/>
          <w:szCs w:val="22"/>
        </w:rPr>
        <w:t xml:space="preserve"> </w:t>
      </w:r>
      <w:r w:rsidR="44A7947F" w:rsidRPr="6ABE0AC8">
        <w:rPr>
          <w:sz w:val="22"/>
          <w:szCs w:val="22"/>
        </w:rPr>
        <w:t>(GOGR)</w:t>
      </w:r>
      <w:r w:rsidR="000223BD" w:rsidRPr="00460355">
        <w:rPr>
          <w:sz w:val="22"/>
          <w:szCs w:val="22"/>
        </w:rPr>
        <w:t xml:space="preserve"> </w:t>
      </w:r>
      <w:r w:rsidRPr="00460355">
        <w:rPr>
          <w:sz w:val="22"/>
          <w:szCs w:val="22"/>
        </w:rPr>
        <w:t xml:space="preserve">invites qualified firms operating </w:t>
      </w:r>
      <w:r w:rsidR="00C868C5" w:rsidRPr="00460355">
        <w:rPr>
          <w:sz w:val="22"/>
          <w:szCs w:val="22"/>
        </w:rPr>
        <w:t>of</w:t>
      </w:r>
      <w:r w:rsidRPr="00460355">
        <w:rPr>
          <w:sz w:val="22"/>
          <w:szCs w:val="22"/>
        </w:rPr>
        <w:t xml:space="preserve"> energy storage, renewable energy, and grid infrastructure to participate in an early market engagement for a </w:t>
      </w:r>
      <w:r w:rsidR="00424DC8" w:rsidRPr="00460355">
        <w:rPr>
          <w:sz w:val="22"/>
          <w:szCs w:val="22"/>
        </w:rPr>
        <w:t xml:space="preserve">forthcoming </w:t>
      </w:r>
      <w:r w:rsidRPr="00460355">
        <w:rPr>
          <w:sz w:val="22"/>
          <w:szCs w:val="22"/>
        </w:rPr>
        <w:t>contract involving the design, supply, installation, and commissioning of Battery Energy Storage Systems (BESS)</w:t>
      </w:r>
      <w:r w:rsidR="00484983" w:rsidRPr="00460355">
        <w:rPr>
          <w:sz w:val="22"/>
          <w:szCs w:val="22"/>
        </w:rPr>
        <w:t xml:space="preserve">, </w:t>
      </w:r>
      <w:r w:rsidR="00424DC8" w:rsidRPr="00460355">
        <w:rPr>
          <w:sz w:val="22"/>
          <w:szCs w:val="22"/>
        </w:rPr>
        <w:t>for Grenada Electricity Services L</w:t>
      </w:r>
      <w:r w:rsidR="00D90EFF">
        <w:rPr>
          <w:sz w:val="22"/>
          <w:szCs w:val="22"/>
        </w:rPr>
        <w:t>td.</w:t>
      </w:r>
      <w:r w:rsidR="00424DC8" w:rsidRPr="00460355">
        <w:rPr>
          <w:sz w:val="22"/>
          <w:szCs w:val="22"/>
        </w:rPr>
        <w:t xml:space="preserve"> (GRENLEC), the national electric utility of Grenada</w:t>
      </w:r>
      <w:r w:rsidRPr="00460355">
        <w:rPr>
          <w:sz w:val="22"/>
          <w:szCs w:val="22"/>
        </w:rPr>
        <w:t xml:space="preserve">. </w:t>
      </w:r>
    </w:p>
    <w:p w14:paraId="7818D7EA" w14:textId="7F0DC76F" w:rsidR="00B1580F" w:rsidRDefault="6B38A9C4" w:rsidP="00AD1F1B">
      <w:pPr>
        <w:jc w:val="both"/>
        <w:rPr>
          <w:sz w:val="22"/>
          <w:szCs w:val="22"/>
        </w:rPr>
      </w:pPr>
      <w:r w:rsidRPr="00460355">
        <w:rPr>
          <w:sz w:val="22"/>
          <w:szCs w:val="22"/>
        </w:rPr>
        <w:t xml:space="preserve">The project scope </w:t>
      </w:r>
      <w:r w:rsidR="3D4A5C0B" w:rsidRPr="00460355">
        <w:rPr>
          <w:sz w:val="22"/>
          <w:szCs w:val="22"/>
        </w:rPr>
        <w:t xml:space="preserve">includes </w:t>
      </w:r>
      <w:r w:rsidR="3E145F79" w:rsidRPr="6ABE0AC8">
        <w:rPr>
          <w:sz w:val="22"/>
          <w:szCs w:val="22"/>
        </w:rPr>
        <w:t>two separate but complementary procurement process</w:t>
      </w:r>
      <w:r w:rsidR="3DBDAD67" w:rsidRPr="00460355">
        <w:rPr>
          <w:sz w:val="22"/>
          <w:szCs w:val="22"/>
        </w:rPr>
        <w:t xml:space="preserve"> for the design, supply, installation, and commissioning of a</w:t>
      </w:r>
      <w:r w:rsidRPr="00460355">
        <w:rPr>
          <w:sz w:val="22"/>
          <w:szCs w:val="22"/>
        </w:rPr>
        <w:t xml:space="preserve"> </w:t>
      </w:r>
      <w:r w:rsidRPr="00460355">
        <w:rPr>
          <w:b/>
          <w:bCs/>
          <w:sz w:val="22"/>
          <w:szCs w:val="22"/>
        </w:rPr>
        <w:t>10.6 MW/21.2 MWh (2-hour) BESS</w:t>
      </w:r>
      <w:r w:rsidRPr="00460355">
        <w:rPr>
          <w:sz w:val="22"/>
          <w:szCs w:val="22"/>
        </w:rPr>
        <w:t xml:space="preserve"> at Maurice Bishop International Airport (MBIA)</w:t>
      </w:r>
      <w:r w:rsidR="3DBDAD67" w:rsidRPr="00460355">
        <w:rPr>
          <w:sz w:val="22"/>
          <w:szCs w:val="22"/>
        </w:rPr>
        <w:t>, along with</w:t>
      </w:r>
      <w:r w:rsidRPr="00460355">
        <w:rPr>
          <w:rFonts w:ascii="Aptos" w:eastAsiaTheme="majorEastAsia" w:hAnsi="Aptos"/>
          <w:sz w:val="22"/>
          <w:szCs w:val="22"/>
        </w:rPr>
        <w:t xml:space="preserve"> associated transmission system upgrade</w:t>
      </w:r>
      <w:r w:rsidR="20E2A156" w:rsidRPr="00460355">
        <w:rPr>
          <w:rFonts w:ascii="Aptos" w:eastAsiaTheme="majorEastAsia" w:hAnsi="Aptos"/>
          <w:sz w:val="22"/>
          <w:szCs w:val="22"/>
        </w:rPr>
        <w:t>s required</w:t>
      </w:r>
      <w:r w:rsidRPr="00460355">
        <w:rPr>
          <w:rFonts w:ascii="Aptos" w:eastAsiaTheme="majorEastAsia" w:hAnsi="Aptos"/>
          <w:sz w:val="22"/>
          <w:szCs w:val="22"/>
        </w:rPr>
        <w:t xml:space="preserve"> </w:t>
      </w:r>
      <w:r w:rsidR="20E2A156" w:rsidRPr="00460355">
        <w:rPr>
          <w:rFonts w:ascii="Aptos" w:eastAsiaTheme="majorEastAsia" w:hAnsi="Aptos"/>
          <w:sz w:val="22"/>
          <w:szCs w:val="22"/>
        </w:rPr>
        <w:t xml:space="preserve">to </w:t>
      </w:r>
      <w:r w:rsidRPr="00460355">
        <w:rPr>
          <w:rFonts w:ascii="Aptos" w:eastAsiaTheme="majorEastAsia" w:hAnsi="Aptos"/>
          <w:sz w:val="22"/>
          <w:szCs w:val="22"/>
        </w:rPr>
        <w:t>connect the BESS to the national grid</w:t>
      </w:r>
      <w:r w:rsidRPr="00460355">
        <w:rPr>
          <w:sz w:val="22"/>
          <w:szCs w:val="22"/>
        </w:rPr>
        <w:t xml:space="preserve">. </w:t>
      </w:r>
      <w:r w:rsidR="00BB7A3B" w:rsidRPr="00460355">
        <w:rPr>
          <w:sz w:val="22"/>
          <w:szCs w:val="22"/>
        </w:rPr>
        <w:t>A separate</w:t>
      </w:r>
      <w:r w:rsidR="20E2A156" w:rsidRPr="00460355">
        <w:rPr>
          <w:sz w:val="22"/>
          <w:szCs w:val="22"/>
        </w:rPr>
        <w:t xml:space="preserve"> contract will also </w:t>
      </w:r>
      <w:r w:rsidR="00BB7A3B" w:rsidRPr="00460355">
        <w:rPr>
          <w:sz w:val="22"/>
          <w:szCs w:val="22"/>
        </w:rPr>
        <w:t xml:space="preserve">be procured for operation and maintenance </w:t>
      </w:r>
      <w:r w:rsidR="000E166A">
        <w:rPr>
          <w:sz w:val="22"/>
          <w:szCs w:val="22"/>
        </w:rPr>
        <w:t>support</w:t>
      </w:r>
      <w:r w:rsidR="00BB7A3B" w:rsidRPr="00460355">
        <w:rPr>
          <w:sz w:val="22"/>
          <w:szCs w:val="22"/>
        </w:rPr>
        <w:t xml:space="preserve"> for </w:t>
      </w:r>
      <w:r w:rsidR="20E2A156" w:rsidRPr="00460355">
        <w:rPr>
          <w:sz w:val="22"/>
          <w:szCs w:val="22"/>
        </w:rPr>
        <w:t>two years.</w:t>
      </w:r>
      <w:r w:rsidR="00B1580F">
        <w:rPr>
          <w:sz w:val="22"/>
          <w:szCs w:val="22"/>
        </w:rPr>
        <w:t xml:space="preserve"> </w:t>
      </w:r>
    </w:p>
    <w:p w14:paraId="43F29715" w14:textId="3B5E5367" w:rsidR="005871A7" w:rsidRPr="00460355" w:rsidRDefault="3DE4FD74" w:rsidP="00AD1F1B">
      <w:pPr>
        <w:jc w:val="both"/>
        <w:rPr>
          <w:sz w:val="22"/>
          <w:szCs w:val="22"/>
        </w:rPr>
      </w:pPr>
      <w:r w:rsidRPr="6ABE0AC8">
        <w:rPr>
          <w:sz w:val="22"/>
          <w:szCs w:val="22"/>
        </w:rPr>
        <w:t xml:space="preserve">The overall goal of the project is </w:t>
      </w:r>
      <w:r w:rsidR="00B1580F" w:rsidRPr="6ABE0AC8">
        <w:rPr>
          <w:sz w:val="22"/>
          <w:szCs w:val="22"/>
        </w:rPr>
        <w:t>to enhance</w:t>
      </w:r>
      <w:r w:rsidR="005871A7" w:rsidRPr="00460355">
        <w:rPr>
          <w:sz w:val="22"/>
          <w:szCs w:val="22"/>
        </w:rPr>
        <w:t xml:space="preserve"> the reliability and resilience of the country's electricity system while facilitating increased integration of renewable energy sources. The </w:t>
      </w:r>
      <w:r w:rsidR="0049699C" w:rsidRPr="00460355">
        <w:rPr>
          <w:sz w:val="22"/>
          <w:szCs w:val="22"/>
        </w:rPr>
        <w:t xml:space="preserve">project </w:t>
      </w:r>
      <w:r w:rsidR="005871A7" w:rsidRPr="00460355">
        <w:rPr>
          <w:sz w:val="22"/>
          <w:szCs w:val="22"/>
        </w:rPr>
        <w:t xml:space="preserve">implementation period is </w:t>
      </w:r>
      <w:r w:rsidR="007E48B2" w:rsidRPr="00460355">
        <w:rPr>
          <w:sz w:val="22"/>
          <w:szCs w:val="22"/>
        </w:rPr>
        <w:t>expected to be approximately</w:t>
      </w:r>
      <w:r w:rsidR="005871A7" w:rsidRPr="00460355">
        <w:rPr>
          <w:sz w:val="22"/>
          <w:szCs w:val="22"/>
        </w:rPr>
        <w:t xml:space="preserve"> </w:t>
      </w:r>
      <w:r w:rsidR="00C8297B">
        <w:rPr>
          <w:sz w:val="22"/>
          <w:szCs w:val="22"/>
        </w:rPr>
        <w:t xml:space="preserve">20 months, </w:t>
      </w:r>
      <w:r w:rsidR="007E48B2" w:rsidRPr="00460355">
        <w:rPr>
          <w:sz w:val="22"/>
          <w:szCs w:val="22"/>
        </w:rPr>
        <w:t>covering</w:t>
      </w:r>
      <w:r w:rsidR="005871A7" w:rsidRPr="00460355">
        <w:rPr>
          <w:sz w:val="22"/>
          <w:szCs w:val="22"/>
        </w:rPr>
        <w:t xml:space="preserve"> procurement</w:t>
      </w:r>
      <w:r w:rsidR="007E48B2" w:rsidRPr="00460355">
        <w:rPr>
          <w:sz w:val="22"/>
          <w:szCs w:val="22"/>
        </w:rPr>
        <w:t xml:space="preserve">, design, installation, and </w:t>
      </w:r>
      <w:r w:rsidR="005871A7" w:rsidRPr="00460355">
        <w:rPr>
          <w:sz w:val="22"/>
          <w:szCs w:val="22"/>
        </w:rPr>
        <w:t xml:space="preserve">commissioning </w:t>
      </w:r>
      <w:r w:rsidR="007E48B2" w:rsidRPr="00460355">
        <w:rPr>
          <w:sz w:val="22"/>
          <w:szCs w:val="22"/>
        </w:rPr>
        <w:t>phases</w:t>
      </w:r>
      <w:r w:rsidR="005871A7" w:rsidRPr="00460355">
        <w:rPr>
          <w:sz w:val="22"/>
          <w:szCs w:val="22"/>
        </w:rPr>
        <w:t>.</w:t>
      </w:r>
    </w:p>
    <w:p w14:paraId="12F899D1" w14:textId="66FEDA18" w:rsidR="00A111EA" w:rsidRPr="00460355" w:rsidRDefault="58219F88" w:rsidP="6ABE0AC8">
      <w:pPr>
        <w:jc w:val="both"/>
        <w:rPr>
          <w:rFonts w:ascii="Aptos" w:eastAsia="Aptos" w:hAnsi="Aptos" w:cs="Aptos"/>
          <w:sz w:val="22"/>
          <w:szCs w:val="22"/>
        </w:rPr>
      </w:pPr>
      <w:r w:rsidRPr="6ABE0AC8">
        <w:rPr>
          <w:rFonts w:ascii="Aptos" w:eastAsia="Aptos" w:hAnsi="Aptos" w:cs="Aptos"/>
          <w:sz w:val="22"/>
          <w:szCs w:val="22"/>
        </w:rPr>
        <w:t xml:space="preserve">The project is expected to be implemented in phases through two separate but complementary procurement processes. In Q2–Q3 2026, GRENLEC plans to launch an initial procurement process for the supply of a portion of the BESS system, approximately 5.5 MW/10 MWh. A subsequent </w:t>
      </w:r>
      <w:r w:rsidRPr="6ABE0AC8">
        <w:rPr>
          <w:rFonts w:ascii="Aptos" w:eastAsia="Aptos" w:hAnsi="Aptos" w:cs="Aptos"/>
          <w:sz w:val="22"/>
          <w:szCs w:val="22"/>
        </w:rPr>
        <w:lastRenderedPageBreak/>
        <w:t>procurement process under World Bank financing is expected to cover the remaining BESS capacity (5.1 MW/11.2 MWh), as well as associated civil works, system integration, and installation activities.</w:t>
      </w:r>
    </w:p>
    <w:p w14:paraId="3A015774" w14:textId="0286A6EC" w:rsidR="00A111EA" w:rsidRPr="00460355" w:rsidRDefault="00A111EA" w:rsidP="6ABE0AC8">
      <w:pPr>
        <w:jc w:val="both"/>
        <w:rPr>
          <w:i/>
          <w:iCs/>
          <w:sz w:val="22"/>
          <w:szCs w:val="22"/>
        </w:rPr>
      </w:pPr>
      <w:r w:rsidRPr="00460355">
        <w:rPr>
          <w:i/>
          <w:iCs/>
          <w:sz w:val="22"/>
          <w:szCs w:val="22"/>
        </w:rPr>
        <w:t xml:space="preserve">The purpose of the early market engagement is to: </w:t>
      </w:r>
    </w:p>
    <w:p w14:paraId="6084DCF9" w14:textId="66FA9EF0" w:rsidR="00A111EA" w:rsidRPr="00460355" w:rsidRDefault="00A111EA" w:rsidP="00B11040">
      <w:pPr>
        <w:pStyle w:val="ListParagraph"/>
        <w:numPr>
          <w:ilvl w:val="0"/>
          <w:numId w:val="10"/>
        </w:numPr>
        <w:rPr>
          <w:i/>
          <w:iCs/>
          <w:sz w:val="22"/>
          <w:szCs w:val="22"/>
        </w:rPr>
      </w:pPr>
      <w:r w:rsidRPr="00460355">
        <w:rPr>
          <w:i/>
          <w:iCs/>
          <w:sz w:val="22"/>
          <w:szCs w:val="22"/>
        </w:rPr>
        <w:t xml:space="preserve">Assess </w:t>
      </w:r>
      <w:r w:rsidR="002E744D" w:rsidRPr="00460355">
        <w:rPr>
          <w:i/>
          <w:iCs/>
          <w:sz w:val="22"/>
          <w:szCs w:val="22"/>
        </w:rPr>
        <w:t xml:space="preserve">the </w:t>
      </w:r>
      <w:r w:rsidRPr="00460355">
        <w:rPr>
          <w:i/>
          <w:iCs/>
          <w:sz w:val="22"/>
          <w:szCs w:val="22"/>
        </w:rPr>
        <w:t xml:space="preserve">interest and capacity of </w:t>
      </w:r>
      <w:r w:rsidR="006E2082" w:rsidRPr="00460355">
        <w:rPr>
          <w:i/>
          <w:iCs/>
          <w:sz w:val="22"/>
          <w:szCs w:val="22"/>
        </w:rPr>
        <w:t xml:space="preserve">BESS equipment </w:t>
      </w:r>
      <w:r w:rsidR="0A92F785" w:rsidRPr="6ABE0AC8">
        <w:rPr>
          <w:i/>
          <w:iCs/>
          <w:sz w:val="22"/>
          <w:szCs w:val="22"/>
        </w:rPr>
        <w:t xml:space="preserve">suppliers </w:t>
      </w:r>
      <w:r w:rsidR="006E2082" w:rsidRPr="00460355">
        <w:rPr>
          <w:i/>
          <w:iCs/>
          <w:sz w:val="22"/>
          <w:szCs w:val="22"/>
        </w:rPr>
        <w:t xml:space="preserve">and </w:t>
      </w:r>
      <w:r w:rsidR="2687F4D5" w:rsidRPr="6ABE0AC8">
        <w:rPr>
          <w:i/>
          <w:iCs/>
          <w:sz w:val="22"/>
          <w:szCs w:val="22"/>
        </w:rPr>
        <w:t>system integrators capable of</w:t>
      </w:r>
      <w:r w:rsidR="006E2082" w:rsidRPr="00460355">
        <w:rPr>
          <w:i/>
          <w:iCs/>
          <w:sz w:val="22"/>
          <w:szCs w:val="22"/>
        </w:rPr>
        <w:t xml:space="preserve"> </w:t>
      </w:r>
      <w:r w:rsidR="00B1580F" w:rsidRPr="00460355">
        <w:rPr>
          <w:i/>
          <w:iCs/>
          <w:sz w:val="22"/>
          <w:szCs w:val="22"/>
        </w:rPr>
        <w:t>d</w:t>
      </w:r>
      <w:r w:rsidR="00B1580F" w:rsidRPr="6ABE0AC8">
        <w:rPr>
          <w:i/>
          <w:iCs/>
          <w:sz w:val="22"/>
          <w:szCs w:val="22"/>
        </w:rPr>
        <w:t>elivering</w:t>
      </w:r>
      <w:r w:rsidRPr="6ABE0AC8">
        <w:rPr>
          <w:i/>
          <w:iCs/>
          <w:sz w:val="22"/>
          <w:szCs w:val="22"/>
        </w:rPr>
        <w:t xml:space="preserve"> </w:t>
      </w:r>
      <w:r w:rsidR="091AB1B0" w:rsidRPr="6ABE0AC8">
        <w:rPr>
          <w:i/>
          <w:iCs/>
          <w:sz w:val="22"/>
          <w:szCs w:val="22"/>
        </w:rPr>
        <w:t>utility-scale</w:t>
      </w:r>
      <w:r w:rsidRPr="00460355">
        <w:rPr>
          <w:i/>
          <w:iCs/>
          <w:sz w:val="22"/>
          <w:szCs w:val="22"/>
        </w:rPr>
        <w:t xml:space="preserve"> BESS </w:t>
      </w:r>
      <w:r w:rsidR="00B11040" w:rsidRPr="00460355">
        <w:rPr>
          <w:i/>
          <w:iCs/>
          <w:sz w:val="22"/>
          <w:szCs w:val="22"/>
        </w:rPr>
        <w:t>solutions</w:t>
      </w:r>
      <w:r w:rsidR="006C3DAA" w:rsidRPr="00460355">
        <w:rPr>
          <w:i/>
          <w:iCs/>
          <w:sz w:val="22"/>
          <w:szCs w:val="22"/>
        </w:rPr>
        <w:t>.</w:t>
      </w:r>
    </w:p>
    <w:p w14:paraId="641E2282" w14:textId="6E718946" w:rsidR="00A111EA" w:rsidRPr="00460355" w:rsidRDefault="00A111EA" w:rsidP="00B11040">
      <w:pPr>
        <w:pStyle w:val="ListParagraph"/>
        <w:numPr>
          <w:ilvl w:val="0"/>
          <w:numId w:val="10"/>
        </w:numPr>
        <w:rPr>
          <w:i/>
          <w:iCs/>
          <w:sz w:val="22"/>
          <w:szCs w:val="22"/>
        </w:rPr>
      </w:pPr>
      <w:r w:rsidRPr="00460355">
        <w:rPr>
          <w:i/>
          <w:iCs/>
          <w:sz w:val="22"/>
          <w:szCs w:val="22"/>
        </w:rPr>
        <w:t>Understand market perception</w:t>
      </w:r>
      <w:r w:rsidR="002E744D" w:rsidRPr="00460355">
        <w:rPr>
          <w:i/>
          <w:iCs/>
          <w:sz w:val="22"/>
          <w:szCs w:val="22"/>
        </w:rPr>
        <w:t>s</w:t>
      </w:r>
      <w:r w:rsidRPr="00460355">
        <w:rPr>
          <w:i/>
          <w:iCs/>
          <w:sz w:val="22"/>
          <w:szCs w:val="22"/>
        </w:rPr>
        <w:t xml:space="preserve"> </w:t>
      </w:r>
      <w:r w:rsidR="008A056D" w:rsidRPr="00460355">
        <w:rPr>
          <w:i/>
          <w:iCs/>
          <w:sz w:val="22"/>
          <w:szCs w:val="22"/>
        </w:rPr>
        <w:t>and experience related to grid-connected BESS deployment in Grenada and similar island power systems</w:t>
      </w:r>
      <w:r w:rsidR="006C3DAA" w:rsidRPr="00460355">
        <w:rPr>
          <w:i/>
          <w:iCs/>
          <w:sz w:val="22"/>
          <w:szCs w:val="22"/>
        </w:rPr>
        <w:t>.</w:t>
      </w:r>
    </w:p>
    <w:p w14:paraId="731EBE33" w14:textId="2D5A4BA2" w:rsidR="00A111EA" w:rsidRPr="00460355" w:rsidRDefault="00B11040" w:rsidP="00B11040">
      <w:pPr>
        <w:pStyle w:val="ListParagraph"/>
        <w:numPr>
          <w:ilvl w:val="0"/>
          <w:numId w:val="10"/>
        </w:numPr>
        <w:rPr>
          <w:i/>
          <w:iCs/>
          <w:sz w:val="22"/>
          <w:szCs w:val="22"/>
        </w:rPr>
      </w:pPr>
      <w:r w:rsidRPr="00460355">
        <w:rPr>
          <w:i/>
          <w:iCs/>
          <w:sz w:val="22"/>
          <w:szCs w:val="22"/>
        </w:rPr>
        <w:t>Gather</w:t>
      </w:r>
      <w:r w:rsidR="00A111EA" w:rsidRPr="00460355">
        <w:rPr>
          <w:i/>
          <w:iCs/>
          <w:sz w:val="22"/>
          <w:szCs w:val="22"/>
        </w:rPr>
        <w:t xml:space="preserve"> </w:t>
      </w:r>
      <w:r w:rsidR="008A056D" w:rsidRPr="00460355">
        <w:rPr>
          <w:i/>
          <w:iCs/>
          <w:sz w:val="22"/>
          <w:szCs w:val="22"/>
        </w:rPr>
        <w:t xml:space="preserve">feedback </w:t>
      </w:r>
      <w:r w:rsidR="00A111EA" w:rsidRPr="00460355">
        <w:rPr>
          <w:i/>
          <w:iCs/>
          <w:sz w:val="22"/>
          <w:szCs w:val="22"/>
        </w:rPr>
        <w:t xml:space="preserve">on </w:t>
      </w:r>
      <w:r w:rsidR="008A056D" w:rsidRPr="00460355">
        <w:rPr>
          <w:i/>
          <w:iCs/>
          <w:sz w:val="22"/>
          <w:szCs w:val="22"/>
        </w:rPr>
        <w:t xml:space="preserve">potential </w:t>
      </w:r>
      <w:r w:rsidR="00A111EA" w:rsidRPr="00460355">
        <w:rPr>
          <w:i/>
          <w:iCs/>
          <w:sz w:val="22"/>
          <w:szCs w:val="22"/>
        </w:rPr>
        <w:t xml:space="preserve">procurement strategies and realistic implementation </w:t>
      </w:r>
      <w:r w:rsidRPr="00460355">
        <w:rPr>
          <w:i/>
          <w:iCs/>
          <w:sz w:val="22"/>
          <w:szCs w:val="22"/>
        </w:rPr>
        <w:t>timelines.</w:t>
      </w:r>
      <w:r w:rsidR="00A111EA" w:rsidRPr="00460355">
        <w:rPr>
          <w:i/>
          <w:iCs/>
          <w:sz w:val="22"/>
          <w:szCs w:val="22"/>
        </w:rPr>
        <w:t xml:space="preserve"> </w:t>
      </w:r>
    </w:p>
    <w:p w14:paraId="7D7396B8" w14:textId="2C5C2539" w:rsidR="00A111EA" w:rsidRPr="00460355" w:rsidRDefault="00A111EA" w:rsidP="00B11040">
      <w:pPr>
        <w:pStyle w:val="ListParagraph"/>
        <w:numPr>
          <w:ilvl w:val="0"/>
          <w:numId w:val="10"/>
        </w:numPr>
        <w:rPr>
          <w:i/>
          <w:iCs/>
          <w:sz w:val="22"/>
          <w:szCs w:val="22"/>
        </w:rPr>
      </w:pPr>
      <w:r w:rsidRPr="00460355">
        <w:rPr>
          <w:i/>
          <w:iCs/>
          <w:sz w:val="22"/>
          <w:szCs w:val="22"/>
        </w:rPr>
        <w:t xml:space="preserve">Identify </w:t>
      </w:r>
      <w:r w:rsidR="008A056D" w:rsidRPr="00460355">
        <w:rPr>
          <w:i/>
          <w:iCs/>
          <w:sz w:val="22"/>
          <w:szCs w:val="22"/>
        </w:rPr>
        <w:t xml:space="preserve">potential </w:t>
      </w:r>
      <w:r w:rsidRPr="00460355">
        <w:rPr>
          <w:i/>
          <w:iCs/>
          <w:sz w:val="22"/>
          <w:szCs w:val="22"/>
        </w:rPr>
        <w:t xml:space="preserve">barriers to project implementation and explore </w:t>
      </w:r>
      <w:r w:rsidR="008A056D" w:rsidRPr="00460355">
        <w:rPr>
          <w:i/>
          <w:iCs/>
          <w:sz w:val="22"/>
          <w:szCs w:val="22"/>
        </w:rPr>
        <w:t>possible mitigation measures</w:t>
      </w:r>
      <w:r w:rsidR="00AC0813" w:rsidRPr="00460355">
        <w:rPr>
          <w:i/>
          <w:iCs/>
          <w:sz w:val="22"/>
          <w:szCs w:val="22"/>
        </w:rPr>
        <w:t>.</w:t>
      </w:r>
      <w:r w:rsidRPr="00460355">
        <w:rPr>
          <w:i/>
          <w:iCs/>
          <w:sz w:val="22"/>
          <w:szCs w:val="22"/>
        </w:rPr>
        <w:t xml:space="preserve"> </w:t>
      </w:r>
    </w:p>
    <w:p w14:paraId="566A1C22" w14:textId="4DA24E8A" w:rsidR="00A111EA" w:rsidRPr="00460355" w:rsidRDefault="00A111EA" w:rsidP="00B11040">
      <w:pPr>
        <w:pStyle w:val="ListParagraph"/>
        <w:numPr>
          <w:ilvl w:val="0"/>
          <w:numId w:val="10"/>
        </w:numPr>
        <w:rPr>
          <w:i/>
          <w:iCs/>
          <w:sz w:val="22"/>
          <w:szCs w:val="22"/>
        </w:rPr>
      </w:pPr>
      <w:r w:rsidRPr="00460355">
        <w:rPr>
          <w:i/>
          <w:iCs/>
          <w:sz w:val="22"/>
          <w:szCs w:val="22"/>
        </w:rPr>
        <w:t>Gauge technical and financial capabilities</w:t>
      </w:r>
      <w:r w:rsidR="008A056D" w:rsidRPr="00460355">
        <w:rPr>
          <w:i/>
          <w:iCs/>
          <w:sz w:val="22"/>
          <w:szCs w:val="22"/>
        </w:rPr>
        <w:t xml:space="preserve"> of potential bidders</w:t>
      </w:r>
      <w:r w:rsidRPr="00460355">
        <w:rPr>
          <w:i/>
          <w:iCs/>
          <w:sz w:val="22"/>
          <w:szCs w:val="22"/>
        </w:rPr>
        <w:t xml:space="preserve">, including experience </w:t>
      </w:r>
      <w:r w:rsidR="008A056D" w:rsidRPr="00460355">
        <w:rPr>
          <w:i/>
          <w:iCs/>
          <w:sz w:val="22"/>
          <w:szCs w:val="22"/>
        </w:rPr>
        <w:t xml:space="preserve">implementing </w:t>
      </w:r>
      <w:r w:rsidRPr="00460355">
        <w:rPr>
          <w:i/>
          <w:iCs/>
          <w:sz w:val="22"/>
          <w:szCs w:val="22"/>
        </w:rPr>
        <w:t>BESS</w:t>
      </w:r>
      <w:r w:rsidR="008A056D" w:rsidRPr="00460355">
        <w:rPr>
          <w:i/>
          <w:iCs/>
          <w:sz w:val="22"/>
          <w:szCs w:val="22"/>
        </w:rPr>
        <w:t xml:space="preserve"> projects</w:t>
      </w:r>
      <w:r w:rsidRPr="00460355">
        <w:rPr>
          <w:i/>
          <w:iCs/>
          <w:sz w:val="22"/>
          <w:szCs w:val="22"/>
        </w:rPr>
        <w:t xml:space="preserve"> in the Caribbean</w:t>
      </w:r>
      <w:r w:rsidR="008A056D" w:rsidRPr="00460355">
        <w:rPr>
          <w:i/>
          <w:iCs/>
          <w:sz w:val="22"/>
          <w:szCs w:val="22"/>
        </w:rPr>
        <w:t xml:space="preserve"> or comparable markets</w:t>
      </w:r>
      <w:r w:rsidR="005156B4" w:rsidRPr="00460355">
        <w:rPr>
          <w:i/>
          <w:iCs/>
          <w:sz w:val="22"/>
          <w:szCs w:val="22"/>
        </w:rPr>
        <w:t>.</w:t>
      </w:r>
      <w:r w:rsidRPr="00460355">
        <w:rPr>
          <w:i/>
          <w:iCs/>
          <w:sz w:val="22"/>
          <w:szCs w:val="22"/>
        </w:rPr>
        <w:t xml:space="preserve"> </w:t>
      </w:r>
    </w:p>
    <w:p w14:paraId="3FC637F7" w14:textId="1DE866A6" w:rsidR="00A111EA" w:rsidRPr="00460355" w:rsidRDefault="00A111EA" w:rsidP="00B11040">
      <w:pPr>
        <w:pStyle w:val="ListParagraph"/>
        <w:numPr>
          <w:ilvl w:val="0"/>
          <w:numId w:val="10"/>
        </w:numPr>
        <w:rPr>
          <w:i/>
          <w:iCs/>
          <w:sz w:val="22"/>
          <w:szCs w:val="22"/>
        </w:rPr>
      </w:pPr>
      <w:r w:rsidRPr="00460355">
        <w:rPr>
          <w:i/>
          <w:iCs/>
          <w:sz w:val="22"/>
          <w:szCs w:val="22"/>
        </w:rPr>
        <w:t>Incorporate feedback from</w:t>
      </w:r>
      <w:r w:rsidR="003744F0" w:rsidRPr="00460355">
        <w:rPr>
          <w:i/>
          <w:iCs/>
          <w:sz w:val="22"/>
          <w:szCs w:val="22"/>
        </w:rPr>
        <w:t xml:space="preserve"> market</w:t>
      </w:r>
      <w:r w:rsidRPr="00460355">
        <w:rPr>
          <w:i/>
          <w:iCs/>
          <w:sz w:val="22"/>
          <w:szCs w:val="22"/>
        </w:rPr>
        <w:t xml:space="preserve"> participants to refine the procurement approach and </w:t>
      </w:r>
      <w:r w:rsidR="003744F0" w:rsidRPr="00460355">
        <w:rPr>
          <w:i/>
          <w:iCs/>
          <w:sz w:val="22"/>
          <w:szCs w:val="22"/>
        </w:rPr>
        <w:t xml:space="preserve">encourage </w:t>
      </w:r>
      <w:r w:rsidRPr="00460355">
        <w:rPr>
          <w:i/>
          <w:iCs/>
          <w:sz w:val="22"/>
          <w:szCs w:val="22"/>
        </w:rPr>
        <w:t>innovative</w:t>
      </w:r>
      <w:r w:rsidR="003744F0" w:rsidRPr="00460355">
        <w:rPr>
          <w:i/>
          <w:iCs/>
          <w:sz w:val="22"/>
          <w:szCs w:val="22"/>
        </w:rPr>
        <w:t xml:space="preserve"> and </w:t>
      </w:r>
      <w:r w:rsidRPr="00460355">
        <w:rPr>
          <w:i/>
          <w:iCs/>
          <w:sz w:val="22"/>
          <w:szCs w:val="22"/>
        </w:rPr>
        <w:t xml:space="preserve">resilient BESS </w:t>
      </w:r>
      <w:r w:rsidR="003744F0" w:rsidRPr="00460355">
        <w:rPr>
          <w:i/>
          <w:iCs/>
          <w:sz w:val="22"/>
          <w:szCs w:val="22"/>
        </w:rPr>
        <w:t>solutions</w:t>
      </w:r>
      <w:r w:rsidRPr="00460355">
        <w:rPr>
          <w:i/>
          <w:iCs/>
          <w:sz w:val="22"/>
          <w:szCs w:val="22"/>
        </w:rPr>
        <w:t xml:space="preserve">. </w:t>
      </w:r>
    </w:p>
    <w:p w14:paraId="1064D246" w14:textId="77777777" w:rsidR="00AC0813" w:rsidRPr="00460355" w:rsidRDefault="00AC0813" w:rsidP="00AC0813">
      <w:pPr>
        <w:pStyle w:val="ListParagraph"/>
        <w:rPr>
          <w:i/>
          <w:iCs/>
          <w:sz w:val="22"/>
          <w:szCs w:val="22"/>
        </w:rPr>
      </w:pPr>
    </w:p>
    <w:p w14:paraId="160F8C36" w14:textId="3FC0E851" w:rsidR="00AC0813" w:rsidRPr="00460355" w:rsidRDefault="00AC0813" w:rsidP="00AC0813">
      <w:pPr>
        <w:pStyle w:val="ListParagraph"/>
        <w:numPr>
          <w:ilvl w:val="0"/>
          <w:numId w:val="7"/>
        </w:numPr>
        <w:rPr>
          <w:b/>
          <w:bCs/>
          <w:sz w:val="22"/>
          <w:szCs w:val="22"/>
        </w:rPr>
      </w:pPr>
      <w:r w:rsidRPr="00460355">
        <w:rPr>
          <w:b/>
          <w:bCs/>
          <w:sz w:val="22"/>
          <w:szCs w:val="22"/>
        </w:rPr>
        <w:t xml:space="preserve">Project Funding </w:t>
      </w:r>
    </w:p>
    <w:p w14:paraId="30636DC4" w14:textId="2F6334E0" w:rsidR="00D4274F" w:rsidRPr="00460355" w:rsidRDefault="00AC0813" w:rsidP="1E781811">
      <w:pPr>
        <w:jc w:val="both"/>
        <w:rPr>
          <w:sz w:val="22"/>
          <w:szCs w:val="22"/>
        </w:rPr>
      </w:pPr>
      <w:r w:rsidRPr="00460355">
        <w:rPr>
          <w:sz w:val="22"/>
          <w:szCs w:val="22"/>
        </w:rPr>
        <w:t xml:space="preserve">The </w:t>
      </w:r>
      <w:r w:rsidR="00DE3CFD" w:rsidRPr="00460355">
        <w:rPr>
          <w:b/>
          <w:bCs/>
          <w:sz w:val="22"/>
          <w:szCs w:val="22"/>
        </w:rPr>
        <w:t>10.6 MW/21.2 MWh (2-hour) BESS</w:t>
      </w:r>
      <w:r w:rsidR="00DE3CFD" w:rsidRPr="00460355">
        <w:rPr>
          <w:sz w:val="22"/>
          <w:szCs w:val="22"/>
        </w:rPr>
        <w:t xml:space="preserve"> at MBIA</w:t>
      </w:r>
      <w:r w:rsidRPr="00460355">
        <w:rPr>
          <w:sz w:val="22"/>
          <w:szCs w:val="22"/>
        </w:rPr>
        <w:t xml:space="preserve"> </w:t>
      </w:r>
      <w:r w:rsidR="00DE3CFD" w:rsidRPr="00460355">
        <w:rPr>
          <w:sz w:val="22"/>
          <w:szCs w:val="22"/>
        </w:rPr>
        <w:t>forms part of</w:t>
      </w:r>
      <w:r w:rsidR="2A2E780A" w:rsidRPr="00460355">
        <w:rPr>
          <w:sz w:val="22"/>
          <w:szCs w:val="22"/>
        </w:rPr>
        <w:t xml:space="preserve"> two parallel </w:t>
      </w:r>
      <w:r w:rsidR="7845D48C" w:rsidRPr="6ABE0AC8">
        <w:rPr>
          <w:sz w:val="22"/>
          <w:szCs w:val="22"/>
        </w:rPr>
        <w:t>but complementary</w:t>
      </w:r>
      <w:r w:rsidR="2A2E780A" w:rsidRPr="6ABE0AC8">
        <w:rPr>
          <w:sz w:val="22"/>
          <w:szCs w:val="22"/>
        </w:rPr>
        <w:t xml:space="preserve"> </w:t>
      </w:r>
      <w:r w:rsidR="2A2E780A" w:rsidRPr="00460355">
        <w:rPr>
          <w:sz w:val="22"/>
          <w:szCs w:val="22"/>
        </w:rPr>
        <w:t>projects</w:t>
      </w:r>
      <w:r w:rsidR="1DE635B4" w:rsidRPr="00460355">
        <w:rPr>
          <w:sz w:val="22"/>
          <w:szCs w:val="22"/>
        </w:rPr>
        <w:t>:</w:t>
      </w:r>
    </w:p>
    <w:p w14:paraId="00FA7D8C" w14:textId="2F1D49B9" w:rsidR="00D4274F" w:rsidRPr="00460355" w:rsidRDefault="58CD5048" w:rsidP="00D4274F">
      <w:pPr>
        <w:pStyle w:val="ListParagraph"/>
        <w:numPr>
          <w:ilvl w:val="0"/>
          <w:numId w:val="12"/>
        </w:numPr>
        <w:jc w:val="both"/>
        <w:rPr>
          <w:sz w:val="22"/>
          <w:szCs w:val="22"/>
        </w:rPr>
      </w:pPr>
      <w:r w:rsidRPr="00460355">
        <w:rPr>
          <w:sz w:val="22"/>
          <w:szCs w:val="22"/>
        </w:rPr>
        <w:t xml:space="preserve">The Grenada BESS Project financed by the Caribbean Development Bank </w:t>
      </w:r>
      <w:r w:rsidR="51B28562" w:rsidRPr="6ABE0AC8">
        <w:rPr>
          <w:sz w:val="22"/>
          <w:szCs w:val="22"/>
        </w:rPr>
        <w:t>(CDB)</w:t>
      </w:r>
      <w:r w:rsidRPr="6ABE0AC8">
        <w:rPr>
          <w:sz w:val="22"/>
          <w:szCs w:val="22"/>
        </w:rPr>
        <w:t xml:space="preserve"> </w:t>
      </w:r>
      <w:r w:rsidRPr="00460355">
        <w:rPr>
          <w:sz w:val="22"/>
          <w:szCs w:val="22"/>
        </w:rPr>
        <w:t xml:space="preserve">with funding from </w:t>
      </w:r>
      <w:r w:rsidR="5136598F" w:rsidRPr="6ABE0AC8">
        <w:rPr>
          <w:sz w:val="22"/>
          <w:szCs w:val="22"/>
        </w:rPr>
        <w:t>European Union (</w:t>
      </w:r>
      <w:r w:rsidRPr="00460355">
        <w:rPr>
          <w:sz w:val="22"/>
          <w:szCs w:val="22"/>
        </w:rPr>
        <w:t>EU</w:t>
      </w:r>
      <w:r w:rsidR="145754BE" w:rsidRPr="6ABE0AC8">
        <w:rPr>
          <w:sz w:val="22"/>
          <w:szCs w:val="22"/>
        </w:rPr>
        <w:t>)</w:t>
      </w:r>
      <w:r w:rsidRPr="6ABE0AC8">
        <w:rPr>
          <w:sz w:val="22"/>
          <w:szCs w:val="22"/>
        </w:rPr>
        <w:t>,</w:t>
      </w:r>
      <w:r w:rsidR="145754BE" w:rsidRPr="6ABE0AC8">
        <w:rPr>
          <w:sz w:val="22"/>
          <w:szCs w:val="22"/>
        </w:rPr>
        <w:t xml:space="preserve"> the UK </w:t>
      </w:r>
      <w:r w:rsidR="145754BE" w:rsidRPr="00B1580F">
        <w:rPr>
          <w:sz w:val="22"/>
          <w:szCs w:val="22"/>
        </w:rPr>
        <w:t>Foreign, Commonwealth and Development Office</w:t>
      </w:r>
      <w:r w:rsidR="00B1580F">
        <w:rPr>
          <w:sz w:val="22"/>
          <w:szCs w:val="22"/>
        </w:rPr>
        <w:t xml:space="preserve"> </w:t>
      </w:r>
      <w:r w:rsidR="38CF7824" w:rsidRPr="6ABE0AC8">
        <w:rPr>
          <w:sz w:val="20"/>
          <w:szCs w:val="20"/>
        </w:rPr>
        <w:t>(</w:t>
      </w:r>
      <w:r w:rsidRPr="00460355">
        <w:rPr>
          <w:sz w:val="22"/>
          <w:szCs w:val="22"/>
        </w:rPr>
        <w:t>FCDO</w:t>
      </w:r>
      <w:r w:rsidR="790E9607" w:rsidRPr="6ABE0AC8">
        <w:rPr>
          <w:sz w:val="22"/>
          <w:szCs w:val="22"/>
        </w:rPr>
        <w:t>)</w:t>
      </w:r>
      <w:r w:rsidRPr="00460355">
        <w:rPr>
          <w:sz w:val="22"/>
          <w:szCs w:val="22"/>
        </w:rPr>
        <w:t xml:space="preserve"> </w:t>
      </w:r>
      <w:r w:rsidR="00B1580F" w:rsidRPr="00460355">
        <w:rPr>
          <w:sz w:val="22"/>
          <w:szCs w:val="22"/>
        </w:rPr>
        <w:t>and Government</w:t>
      </w:r>
      <w:r w:rsidR="00F729F1" w:rsidRPr="00460355">
        <w:rPr>
          <w:sz w:val="22"/>
          <w:szCs w:val="22"/>
        </w:rPr>
        <w:t xml:space="preserve"> </w:t>
      </w:r>
      <w:r w:rsidR="78DE5EF8" w:rsidRPr="6ABE0AC8">
        <w:rPr>
          <w:sz w:val="22"/>
          <w:szCs w:val="22"/>
        </w:rPr>
        <w:t xml:space="preserve">of Canada. </w:t>
      </w:r>
    </w:p>
    <w:p w14:paraId="78F295C6" w14:textId="56BA5AF1" w:rsidR="580AD927" w:rsidRPr="00460355" w:rsidRDefault="00D4274F" w:rsidP="00AD1F1B">
      <w:pPr>
        <w:pStyle w:val="ListParagraph"/>
        <w:numPr>
          <w:ilvl w:val="0"/>
          <w:numId w:val="12"/>
        </w:numPr>
        <w:jc w:val="both"/>
        <w:rPr>
          <w:sz w:val="22"/>
          <w:szCs w:val="22"/>
        </w:rPr>
      </w:pPr>
      <w:r w:rsidRPr="00460355">
        <w:rPr>
          <w:sz w:val="22"/>
          <w:szCs w:val="22"/>
        </w:rPr>
        <w:t>T</w:t>
      </w:r>
      <w:r w:rsidR="134A4152" w:rsidRPr="00460355">
        <w:rPr>
          <w:sz w:val="22"/>
          <w:szCs w:val="22"/>
        </w:rPr>
        <w:t xml:space="preserve">he </w:t>
      </w:r>
      <w:hyperlink r:id="rId12" w:history="1">
        <w:r w:rsidR="134A4152" w:rsidRPr="00460355">
          <w:rPr>
            <w:rStyle w:val="Hyperlink"/>
            <w:rFonts w:cstheme="majorBidi"/>
            <w:color w:val="auto"/>
            <w:sz w:val="22"/>
            <w:szCs w:val="22"/>
          </w:rPr>
          <w:t>Caribbean Efficient and Green-Energy Buildings project</w:t>
        </w:r>
      </w:hyperlink>
      <w:r w:rsidR="134A4152" w:rsidRPr="00460355">
        <w:t xml:space="preserve"> </w:t>
      </w:r>
      <w:r w:rsidR="134A4152" w:rsidRPr="00460355">
        <w:rPr>
          <w:sz w:val="22"/>
          <w:szCs w:val="22"/>
        </w:rPr>
        <w:t xml:space="preserve">financed by the World Bank, with the Ministry of Climate Resilience, the Environment and Renewable Energy (MCRERE) serving as the primary implementing agency, along with GRENLEC, the electric power utility of Grenada.  </w:t>
      </w:r>
    </w:p>
    <w:p w14:paraId="793B6497" w14:textId="38A72D4F" w:rsidR="00D427E1" w:rsidRPr="00460355" w:rsidRDefault="00D427E1" w:rsidP="00AC0813">
      <w:pPr>
        <w:jc w:val="both"/>
        <w:rPr>
          <w:sz w:val="22"/>
          <w:szCs w:val="22"/>
        </w:rPr>
      </w:pPr>
      <w:r w:rsidRPr="00D427E1">
        <w:rPr>
          <w:sz w:val="22"/>
          <w:szCs w:val="22"/>
        </w:rPr>
        <w:t xml:space="preserve">Following completion of the </w:t>
      </w:r>
      <w:r w:rsidR="1A1797C5" w:rsidRPr="6ABE0AC8">
        <w:rPr>
          <w:sz w:val="22"/>
          <w:szCs w:val="22"/>
        </w:rPr>
        <w:t>procurement process for</w:t>
      </w:r>
      <w:r w:rsidRPr="00D427E1">
        <w:rPr>
          <w:sz w:val="22"/>
          <w:szCs w:val="22"/>
        </w:rPr>
        <w:t xml:space="preserve"> the CDB-financed portion, GRENLEC may engage with the World Bank</w:t>
      </w:r>
      <w:r>
        <w:rPr>
          <w:sz w:val="22"/>
          <w:szCs w:val="22"/>
        </w:rPr>
        <w:t xml:space="preserve">, </w:t>
      </w:r>
      <w:r w:rsidRPr="00D427E1">
        <w:rPr>
          <w:sz w:val="22"/>
          <w:szCs w:val="22"/>
        </w:rPr>
        <w:t xml:space="preserve">to explore potential implementation arrangements for the remaining BESS components to be financed </w:t>
      </w:r>
      <w:r>
        <w:rPr>
          <w:sz w:val="22"/>
          <w:szCs w:val="22"/>
        </w:rPr>
        <w:t>under</w:t>
      </w:r>
      <w:r w:rsidRPr="00D427E1">
        <w:rPr>
          <w:sz w:val="22"/>
          <w:szCs w:val="22"/>
        </w:rPr>
        <w:t xml:space="preserve"> the World Bank</w:t>
      </w:r>
      <w:r>
        <w:rPr>
          <w:sz w:val="22"/>
          <w:szCs w:val="22"/>
        </w:rPr>
        <w:t xml:space="preserve"> </w:t>
      </w:r>
      <w:r w:rsidR="458BAB00" w:rsidRPr="6ABE0AC8">
        <w:rPr>
          <w:sz w:val="22"/>
          <w:szCs w:val="22"/>
        </w:rPr>
        <w:t>project</w:t>
      </w:r>
      <w:r w:rsidRPr="6ABE0AC8">
        <w:rPr>
          <w:sz w:val="22"/>
          <w:szCs w:val="22"/>
        </w:rPr>
        <w:t>,</w:t>
      </w:r>
      <w:r w:rsidR="645E835E" w:rsidRPr="6ABE0AC8">
        <w:rPr>
          <w:sz w:val="22"/>
          <w:szCs w:val="22"/>
        </w:rPr>
        <w:t xml:space="preserve"> including possible approaches to ensure technical integration of the overall BESS</w:t>
      </w:r>
      <w:r w:rsidR="3A2BC290" w:rsidRPr="6ABE0AC8">
        <w:rPr>
          <w:sz w:val="22"/>
          <w:szCs w:val="22"/>
        </w:rPr>
        <w:t>.</w:t>
      </w:r>
      <w:r w:rsidR="58A5A565" w:rsidRPr="6ABE0AC8">
        <w:rPr>
          <w:sz w:val="22"/>
          <w:szCs w:val="22"/>
        </w:rPr>
        <w:t xml:space="preserve"> Any such arrangements would be subject to the World</w:t>
      </w:r>
      <w:r w:rsidRPr="00D427E1">
        <w:rPr>
          <w:sz w:val="22"/>
          <w:szCs w:val="22"/>
        </w:rPr>
        <w:t xml:space="preserve"> Bank's procurement policies and approval processes.</w:t>
      </w:r>
    </w:p>
    <w:p w14:paraId="7990E04E" w14:textId="77777777" w:rsidR="00A111EA" w:rsidRPr="00460355" w:rsidRDefault="00A111EA" w:rsidP="00B11040">
      <w:pPr>
        <w:pStyle w:val="ListParagraph"/>
        <w:numPr>
          <w:ilvl w:val="0"/>
          <w:numId w:val="7"/>
        </w:numPr>
        <w:rPr>
          <w:b/>
          <w:bCs/>
          <w:sz w:val="22"/>
          <w:szCs w:val="22"/>
        </w:rPr>
      </w:pPr>
      <w:r w:rsidRPr="00460355">
        <w:rPr>
          <w:b/>
          <w:bCs/>
          <w:sz w:val="22"/>
          <w:szCs w:val="22"/>
        </w:rPr>
        <w:t xml:space="preserve">Registration Details </w:t>
      </w:r>
    </w:p>
    <w:p w14:paraId="7099C62E" w14:textId="77777777" w:rsidR="009E7809" w:rsidRPr="00460355" w:rsidRDefault="009E7809" w:rsidP="00A111EA">
      <w:pPr>
        <w:rPr>
          <w:sz w:val="22"/>
          <w:szCs w:val="22"/>
        </w:rPr>
      </w:pPr>
      <w:r w:rsidRPr="00460355">
        <w:rPr>
          <w:sz w:val="22"/>
          <w:szCs w:val="22"/>
        </w:rPr>
        <w:t>Interested parties are invited to register using the link provided above and complete the preliminary questionnaire.</w:t>
      </w:r>
    </w:p>
    <w:p w14:paraId="25A9CC43" w14:textId="65E125D2" w:rsidR="00A111EA" w:rsidRDefault="009E7809" w:rsidP="00A111EA">
      <w:pPr>
        <w:rPr>
          <w:sz w:val="22"/>
          <w:szCs w:val="22"/>
        </w:rPr>
      </w:pPr>
      <w:r w:rsidRPr="00460355">
        <w:rPr>
          <w:sz w:val="22"/>
          <w:szCs w:val="22"/>
        </w:rPr>
        <w:t>The event is open to private companies, developers, technology providers, suppliers, contractors, and other stakeholders with relevant experience or interest in Battery Energy Storage Systems and related grid infrastructure.</w:t>
      </w:r>
      <w:r w:rsidR="00A111EA" w:rsidRPr="00460355">
        <w:rPr>
          <w:sz w:val="22"/>
          <w:szCs w:val="22"/>
        </w:rPr>
        <w:t xml:space="preserve"> </w:t>
      </w:r>
    </w:p>
    <w:p w14:paraId="2D718BB1" w14:textId="77777777" w:rsidR="00D427E1" w:rsidRDefault="00A111EA" w:rsidP="00D427E1">
      <w:pPr>
        <w:pStyle w:val="ListParagraph"/>
        <w:numPr>
          <w:ilvl w:val="0"/>
          <w:numId w:val="7"/>
        </w:numPr>
        <w:rPr>
          <w:sz w:val="22"/>
          <w:szCs w:val="22"/>
        </w:rPr>
      </w:pPr>
      <w:r w:rsidRPr="00460355">
        <w:rPr>
          <w:b/>
          <w:bCs/>
          <w:sz w:val="22"/>
          <w:szCs w:val="22"/>
        </w:rPr>
        <w:lastRenderedPageBreak/>
        <w:t>Contact Details</w:t>
      </w:r>
      <w:r w:rsidRPr="00460355">
        <w:rPr>
          <w:sz w:val="22"/>
          <w:szCs w:val="22"/>
        </w:rPr>
        <w:t xml:space="preserve"> </w:t>
      </w:r>
    </w:p>
    <w:p w14:paraId="2C620339" w14:textId="542869D9" w:rsidR="00AC0813" w:rsidRPr="00D427E1" w:rsidRDefault="49F2E67B" w:rsidP="00D427E1">
      <w:pPr>
        <w:jc w:val="both"/>
        <w:rPr>
          <w:sz w:val="22"/>
          <w:szCs w:val="22"/>
        </w:rPr>
      </w:pPr>
      <w:r w:rsidRPr="00B1580F">
        <w:rPr>
          <w:sz w:val="22"/>
          <w:szCs w:val="22"/>
        </w:rPr>
        <w:t>For more information, please reach out to Ms. Wendy Brizan,</w:t>
      </w:r>
      <w:r w:rsidR="00243641" w:rsidRPr="00B1580F">
        <w:rPr>
          <w:sz w:val="22"/>
          <w:szCs w:val="22"/>
        </w:rPr>
        <w:t xml:space="preserve"> </w:t>
      </w:r>
      <w:r w:rsidRPr="00B1580F">
        <w:rPr>
          <w:sz w:val="22"/>
          <w:szCs w:val="22"/>
        </w:rPr>
        <w:t>Procurement Officer, Project Implementing Unit, Ministry of Finance at:</w:t>
      </w:r>
      <w:r w:rsidR="5BE77F7A" w:rsidRPr="00B1580F">
        <w:rPr>
          <w:sz w:val="22"/>
          <w:szCs w:val="22"/>
        </w:rPr>
        <w:t xml:space="preserve"> </w:t>
      </w:r>
      <w:hyperlink r:id="rId13">
        <w:r w:rsidR="5BE77F7A" w:rsidRPr="6ABE0AC8">
          <w:rPr>
            <w:rStyle w:val="Hyperlink"/>
            <w:color w:val="auto"/>
            <w:sz w:val="22"/>
            <w:szCs w:val="22"/>
          </w:rPr>
          <w:t>wendy.brizan@procurement.gov.gd</w:t>
        </w:r>
      </w:hyperlink>
      <w:r w:rsidR="5BE77F7A" w:rsidRPr="00B1580F">
        <w:rPr>
          <w:sz w:val="22"/>
          <w:szCs w:val="22"/>
        </w:rPr>
        <w:t xml:space="preserve"> and Mr. Kennard Lalsingh</w:t>
      </w:r>
      <w:r w:rsidR="00011AE3" w:rsidRPr="00B1580F">
        <w:rPr>
          <w:sz w:val="22"/>
          <w:szCs w:val="22"/>
        </w:rPr>
        <w:t>, Deputy Project Manager, GRENLEC</w:t>
      </w:r>
      <w:r w:rsidRPr="00B1580F">
        <w:rPr>
          <w:sz w:val="22"/>
          <w:szCs w:val="22"/>
        </w:rPr>
        <w:t xml:space="preserve"> </w:t>
      </w:r>
      <w:r w:rsidR="634F97FF" w:rsidRPr="00B1580F">
        <w:rPr>
          <w:sz w:val="22"/>
          <w:szCs w:val="22"/>
        </w:rPr>
        <w:t>at</w:t>
      </w:r>
      <w:r w:rsidR="2DAA114C" w:rsidRPr="00B1580F">
        <w:rPr>
          <w:sz w:val="22"/>
          <w:szCs w:val="22"/>
        </w:rPr>
        <w:t xml:space="preserve"> </w:t>
      </w:r>
      <w:hyperlink r:id="rId14">
        <w:r w:rsidR="2DAA114C" w:rsidRPr="6ABE0AC8">
          <w:rPr>
            <w:rStyle w:val="Hyperlink"/>
            <w:color w:val="auto"/>
            <w:sz w:val="22"/>
            <w:szCs w:val="22"/>
          </w:rPr>
          <w:t>klalsingh@grenlec.com</w:t>
        </w:r>
      </w:hyperlink>
      <w:r w:rsidR="2DAA114C" w:rsidRPr="00B1580F">
        <w:rPr>
          <w:sz w:val="22"/>
          <w:szCs w:val="22"/>
        </w:rPr>
        <w:t xml:space="preserve">. </w:t>
      </w:r>
    </w:p>
    <w:p w14:paraId="03A1A576" w14:textId="77777777" w:rsidR="00A111EA" w:rsidRPr="00460355" w:rsidRDefault="00A111EA" w:rsidP="00AC0813">
      <w:pPr>
        <w:pStyle w:val="ListParagraph"/>
        <w:numPr>
          <w:ilvl w:val="0"/>
          <w:numId w:val="7"/>
        </w:numPr>
        <w:rPr>
          <w:b/>
          <w:bCs/>
          <w:sz w:val="22"/>
          <w:szCs w:val="22"/>
        </w:rPr>
      </w:pPr>
      <w:r w:rsidRPr="00460355">
        <w:rPr>
          <w:b/>
          <w:bCs/>
          <w:sz w:val="22"/>
          <w:szCs w:val="22"/>
        </w:rPr>
        <w:t xml:space="preserve">Additional Notes </w:t>
      </w:r>
    </w:p>
    <w:p w14:paraId="68B4AD93" w14:textId="427D5E98" w:rsidR="00A111EA" w:rsidRPr="00460355" w:rsidRDefault="7ED8913A" w:rsidP="6ABE0AC8">
      <w:pPr>
        <w:jc w:val="both"/>
        <w:rPr>
          <w:sz w:val="22"/>
          <w:szCs w:val="22"/>
        </w:rPr>
      </w:pPr>
      <w:r w:rsidRPr="6ABE0AC8">
        <w:rPr>
          <w:sz w:val="22"/>
          <w:szCs w:val="22"/>
        </w:rPr>
        <w:t xml:space="preserve">Participation in the early market engagement is not a prerequisite for participation in future procurement processes and </w:t>
      </w:r>
      <w:r w:rsidRPr="6ABE0AC8">
        <w:rPr>
          <w:b/>
          <w:bCs/>
          <w:sz w:val="22"/>
          <w:szCs w:val="22"/>
        </w:rPr>
        <w:t>does not</w:t>
      </w:r>
      <w:r w:rsidRPr="6ABE0AC8">
        <w:rPr>
          <w:sz w:val="22"/>
          <w:szCs w:val="22"/>
        </w:rPr>
        <w:t xml:space="preserve"> constitute prequalification. Participation does not confer any advantage in any future tender. Furthermore, GRENLEC and the Government of Grenada are not bound by any information or discussions arising from this engagement.</w:t>
      </w:r>
    </w:p>
    <w:p w14:paraId="17D0973F" w14:textId="0BC0D72E" w:rsidR="003157BB" w:rsidRPr="00460355" w:rsidRDefault="00243641" w:rsidP="003157BB">
      <w:pPr>
        <w:pStyle w:val="ListParagraph"/>
        <w:numPr>
          <w:ilvl w:val="0"/>
          <w:numId w:val="7"/>
        </w:numPr>
        <w:rPr>
          <w:b/>
          <w:bCs/>
          <w:sz w:val="22"/>
          <w:szCs w:val="22"/>
        </w:rPr>
      </w:pPr>
      <w:r w:rsidRPr="00460355">
        <w:rPr>
          <w:b/>
          <w:bCs/>
          <w:sz w:val="22"/>
          <w:szCs w:val="22"/>
        </w:rPr>
        <w:t xml:space="preserve">Proposed Draft </w:t>
      </w:r>
      <w:r w:rsidR="003157BB" w:rsidRPr="00460355">
        <w:rPr>
          <w:b/>
          <w:bCs/>
          <w:sz w:val="22"/>
          <w:szCs w:val="22"/>
        </w:rPr>
        <w:t>Agenda</w:t>
      </w:r>
    </w:p>
    <w:p w14:paraId="6AB0B0E6" w14:textId="77777777" w:rsidR="00243641" w:rsidRPr="00460355" w:rsidRDefault="00243641" w:rsidP="00460355">
      <w:pPr>
        <w:pStyle w:val="ListParagraph"/>
        <w:rPr>
          <w:b/>
          <w:bCs/>
          <w:sz w:val="22"/>
          <w:szCs w:val="22"/>
        </w:rPr>
      </w:pPr>
    </w:p>
    <w:p w14:paraId="4818FEB9" w14:textId="318CF43D" w:rsidR="004345F7" w:rsidRPr="00460355" w:rsidRDefault="004345F7" w:rsidP="00AD1F1B">
      <w:pPr>
        <w:pStyle w:val="ListParagraph"/>
        <w:numPr>
          <w:ilvl w:val="0"/>
          <w:numId w:val="11"/>
        </w:numPr>
        <w:jc w:val="both"/>
        <w:rPr>
          <w:b/>
          <w:bCs/>
          <w:sz w:val="22"/>
          <w:szCs w:val="22"/>
        </w:rPr>
      </w:pPr>
      <w:r w:rsidRPr="00460355">
        <w:rPr>
          <w:b/>
          <w:bCs/>
          <w:sz w:val="22"/>
          <w:szCs w:val="22"/>
        </w:rPr>
        <w:t>Welcome and Introduction</w:t>
      </w:r>
    </w:p>
    <w:p w14:paraId="12BA50E4" w14:textId="6DC3195A" w:rsidR="004345F7" w:rsidRPr="00460355" w:rsidRDefault="004345F7" w:rsidP="00AD1F1B">
      <w:pPr>
        <w:jc w:val="both"/>
        <w:rPr>
          <w:sz w:val="22"/>
          <w:szCs w:val="22"/>
        </w:rPr>
      </w:pPr>
      <w:r w:rsidRPr="00460355">
        <w:rPr>
          <w:sz w:val="22"/>
          <w:szCs w:val="22"/>
        </w:rPr>
        <w:t>Greeting</w:t>
      </w:r>
      <w:r w:rsidR="15746731" w:rsidRPr="00460355">
        <w:rPr>
          <w:sz w:val="22"/>
          <w:szCs w:val="22"/>
        </w:rPr>
        <w:t>s</w:t>
      </w:r>
      <w:r w:rsidRPr="00460355">
        <w:rPr>
          <w:sz w:val="22"/>
          <w:szCs w:val="22"/>
        </w:rPr>
        <w:t xml:space="preserve"> of participants and </w:t>
      </w:r>
      <w:r w:rsidR="05DED6C6" w:rsidRPr="00460355">
        <w:rPr>
          <w:sz w:val="22"/>
          <w:szCs w:val="22"/>
        </w:rPr>
        <w:t xml:space="preserve">an </w:t>
      </w:r>
      <w:r w:rsidRPr="00460355">
        <w:rPr>
          <w:sz w:val="22"/>
          <w:szCs w:val="22"/>
        </w:rPr>
        <w:t>overview of the session format.</w:t>
      </w:r>
    </w:p>
    <w:p w14:paraId="10BE0670" w14:textId="47D242AE" w:rsidR="004345F7" w:rsidRPr="00460355" w:rsidRDefault="004345F7" w:rsidP="00AD1F1B">
      <w:pPr>
        <w:pStyle w:val="ListParagraph"/>
        <w:numPr>
          <w:ilvl w:val="0"/>
          <w:numId w:val="11"/>
        </w:numPr>
        <w:jc w:val="both"/>
        <w:rPr>
          <w:b/>
          <w:bCs/>
          <w:sz w:val="22"/>
          <w:szCs w:val="22"/>
        </w:rPr>
      </w:pPr>
      <w:r w:rsidRPr="00460355">
        <w:rPr>
          <w:b/>
          <w:bCs/>
          <w:sz w:val="22"/>
          <w:szCs w:val="22"/>
        </w:rPr>
        <w:t>Objectives of the Early Market Engagement</w:t>
      </w:r>
    </w:p>
    <w:p w14:paraId="3E19E735" w14:textId="4D471D37" w:rsidR="004345F7" w:rsidRPr="00460355" w:rsidRDefault="000223BD" w:rsidP="00AD1F1B">
      <w:pPr>
        <w:jc w:val="both"/>
        <w:rPr>
          <w:sz w:val="22"/>
          <w:szCs w:val="22"/>
        </w:rPr>
      </w:pPr>
      <w:r w:rsidRPr="00460355">
        <w:rPr>
          <w:sz w:val="22"/>
          <w:szCs w:val="22"/>
        </w:rPr>
        <w:t>Discussion</w:t>
      </w:r>
      <w:r w:rsidR="004345F7" w:rsidRPr="00460355">
        <w:rPr>
          <w:sz w:val="22"/>
          <w:szCs w:val="22"/>
        </w:rPr>
        <w:t xml:space="preserve"> assessing market interest and capacity, gathering feedback on procurement approach and timeline, identifying potential barriers and solutions, understanding bidder capabilities, and exploring possible innovations.</w:t>
      </w:r>
    </w:p>
    <w:p w14:paraId="02C7B0DA" w14:textId="2CFC1C78" w:rsidR="004345F7" w:rsidRPr="00460355" w:rsidRDefault="004345F7" w:rsidP="00AD1F1B">
      <w:pPr>
        <w:pStyle w:val="ListParagraph"/>
        <w:numPr>
          <w:ilvl w:val="0"/>
          <w:numId w:val="11"/>
        </w:numPr>
        <w:jc w:val="both"/>
        <w:rPr>
          <w:b/>
          <w:bCs/>
          <w:sz w:val="22"/>
          <w:szCs w:val="22"/>
        </w:rPr>
      </w:pPr>
      <w:r w:rsidRPr="00460355">
        <w:rPr>
          <w:b/>
          <w:bCs/>
          <w:sz w:val="22"/>
          <w:szCs w:val="22"/>
        </w:rPr>
        <w:t>Overview of the CDB and World Bank Project</w:t>
      </w:r>
    </w:p>
    <w:p w14:paraId="22B94960" w14:textId="24EF17E6" w:rsidR="004345F7" w:rsidRPr="00460355" w:rsidRDefault="004345F7" w:rsidP="00AD1F1B">
      <w:pPr>
        <w:jc w:val="both"/>
        <w:rPr>
          <w:sz w:val="22"/>
          <w:szCs w:val="22"/>
        </w:rPr>
      </w:pPr>
      <w:r w:rsidRPr="00460355">
        <w:rPr>
          <w:sz w:val="22"/>
          <w:szCs w:val="22"/>
        </w:rPr>
        <w:t xml:space="preserve">Presentation of the project objective to </w:t>
      </w:r>
      <w:r w:rsidR="000223BD" w:rsidRPr="00460355">
        <w:rPr>
          <w:sz w:val="22"/>
          <w:szCs w:val="22"/>
        </w:rPr>
        <w:t>enhance</w:t>
      </w:r>
      <w:r w:rsidRPr="00460355">
        <w:rPr>
          <w:sz w:val="22"/>
          <w:szCs w:val="22"/>
        </w:rPr>
        <w:t xml:space="preserve"> </w:t>
      </w:r>
      <w:r w:rsidR="00BF5709" w:rsidRPr="00460355">
        <w:rPr>
          <w:sz w:val="22"/>
          <w:szCs w:val="22"/>
        </w:rPr>
        <w:t xml:space="preserve">Grenada’s </w:t>
      </w:r>
      <w:r w:rsidR="000223BD" w:rsidRPr="00460355">
        <w:rPr>
          <w:sz w:val="22"/>
          <w:szCs w:val="22"/>
        </w:rPr>
        <w:t>energy security, provide grid stability, and integrate renewable energy at the MBIA airport</w:t>
      </w:r>
      <w:r w:rsidRPr="00460355">
        <w:rPr>
          <w:sz w:val="22"/>
          <w:szCs w:val="22"/>
        </w:rPr>
        <w:t>, including key activities such as the design, supply, installation, and commissioning of the BESS and related grid interventions.</w:t>
      </w:r>
    </w:p>
    <w:p w14:paraId="3940B2E1" w14:textId="008A3797" w:rsidR="004345F7" w:rsidRPr="00460355" w:rsidRDefault="004345F7" w:rsidP="00AD1F1B">
      <w:pPr>
        <w:pStyle w:val="ListParagraph"/>
        <w:numPr>
          <w:ilvl w:val="0"/>
          <w:numId w:val="11"/>
        </w:numPr>
        <w:jc w:val="both"/>
        <w:rPr>
          <w:b/>
          <w:bCs/>
          <w:sz w:val="22"/>
          <w:szCs w:val="22"/>
        </w:rPr>
      </w:pPr>
      <w:r w:rsidRPr="00460355">
        <w:rPr>
          <w:b/>
          <w:bCs/>
          <w:sz w:val="22"/>
          <w:szCs w:val="22"/>
        </w:rPr>
        <w:t>Maurice Bishop International Airport (MBIA) Site Overview</w:t>
      </w:r>
    </w:p>
    <w:p w14:paraId="68C3DA34" w14:textId="2AB03944" w:rsidR="004345F7" w:rsidRPr="00460355" w:rsidRDefault="004345F7" w:rsidP="00AD1F1B">
      <w:pPr>
        <w:jc w:val="both"/>
        <w:rPr>
          <w:sz w:val="22"/>
          <w:szCs w:val="22"/>
        </w:rPr>
      </w:pPr>
      <w:r w:rsidRPr="00460355">
        <w:rPr>
          <w:sz w:val="22"/>
          <w:szCs w:val="22"/>
        </w:rPr>
        <w:t>Presentation of the current project status, the proposed BESS capacity (</w:t>
      </w:r>
      <w:r w:rsidR="004647C6" w:rsidRPr="00460355">
        <w:rPr>
          <w:sz w:val="22"/>
          <w:szCs w:val="22"/>
        </w:rPr>
        <w:t>10.6</w:t>
      </w:r>
      <w:r w:rsidRPr="00460355">
        <w:rPr>
          <w:sz w:val="22"/>
          <w:szCs w:val="22"/>
        </w:rPr>
        <w:t xml:space="preserve"> MW / </w:t>
      </w:r>
      <w:r w:rsidR="004647C6" w:rsidRPr="00460355">
        <w:rPr>
          <w:sz w:val="22"/>
          <w:szCs w:val="22"/>
        </w:rPr>
        <w:t>21.2</w:t>
      </w:r>
      <w:r w:rsidRPr="00460355">
        <w:rPr>
          <w:sz w:val="22"/>
          <w:szCs w:val="22"/>
        </w:rPr>
        <w:t xml:space="preserve"> MWh), and the proposed installation locations.</w:t>
      </w:r>
    </w:p>
    <w:p w14:paraId="3C96F408" w14:textId="5EBA5174" w:rsidR="004345F7" w:rsidRPr="00460355" w:rsidRDefault="004345F7" w:rsidP="00AD1F1B">
      <w:pPr>
        <w:pStyle w:val="ListParagraph"/>
        <w:numPr>
          <w:ilvl w:val="0"/>
          <w:numId w:val="11"/>
        </w:numPr>
        <w:jc w:val="both"/>
        <w:rPr>
          <w:b/>
          <w:bCs/>
          <w:sz w:val="22"/>
          <w:szCs w:val="22"/>
        </w:rPr>
      </w:pPr>
      <w:r w:rsidRPr="00460355">
        <w:rPr>
          <w:b/>
          <w:bCs/>
          <w:sz w:val="22"/>
          <w:szCs w:val="22"/>
        </w:rPr>
        <w:t>Expected Implementation Timeline</w:t>
      </w:r>
    </w:p>
    <w:p w14:paraId="124E683F" w14:textId="5D12DF30" w:rsidR="004345F7" w:rsidRPr="00460355" w:rsidRDefault="004345F7" w:rsidP="00AD1F1B">
      <w:pPr>
        <w:jc w:val="both"/>
        <w:rPr>
          <w:sz w:val="22"/>
          <w:szCs w:val="22"/>
        </w:rPr>
      </w:pPr>
      <w:r w:rsidRPr="00460355">
        <w:rPr>
          <w:sz w:val="22"/>
          <w:szCs w:val="22"/>
        </w:rPr>
        <w:t>Presentation of the anticipated timeline for the procurement and installation of the BESS, followed by initial feedback from market participants.</w:t>
      </w:r>
    </w:p>
    <w:p w14:paraId="650200F7" w14:textId="028A88B1" w:rsidR="004345F7" w:rsidRPr="00460355" w:rsidRDefault="004345F7" w:rsidP="00AD1F1B">
      <w:pPr>
        <w:pStyle w:val="ListParagraph"/>
        <w:numPr>
          <w:ilvl w:val="0"/>
          <w:numId w:val="11"/>
        </w:numPr>
        <w:jc w:val="both"/>
        <w:rPr>
          <w:b/>
          <w:bCs/>
          <w:sz w:val="22"/>
          <w:szCs w:val="22"/>
        </w:rPr>
      </w:pPr>
      <w:r w:rsidRPr="00460355">
        <w:rPr>
          <w:b/>
          <w:bCs/>
          <w:sz w:val="22"/>
          <w:szCs w:val="22"/>
        </w:rPr>
        <w:t>Guiding Questions for Market Engagement</w:t>
      </w:r>
    </w:p>
    <w:p w14:paraId="2FDE8AD4" w14:textId="24CCD559" w:rsidR="004345F7" w:rsidRPr="00460355" w:rsidRDefault="004345F7" w:rsidP="00AD1F1B">
      <w:pPr>
        <w:jc w:val="both"/>
        <w:rPr>
          <w:sz w:val="22"/>
          <w:szCs w:val="22"/>
        </w:rPr>
      </w:pPr>
      <w:r w:rsidRPr="00460355">
        <w:rPr>
          <w:sz w:val="22"/>
          <w:szCs w:val="22"/>
        </w:rPr>
        <w:t xml:space="preserve">Interactive discussion covering technical considerations, commercial aspects, supply chain challenges, barriers and potential solutions, procurement approach, bidder capabilities, and operations </w:t>
      </w:r>
      <w:r w:rsidR="004647C6" w:rsidRPr="00460355">
        <w:rPr>
          <w:sz w:val="22"/>
          <w:szCs w:val="22"/>
        </w:rPr>
        <w:t>&amp;</w:t>
      </w:r>
      <w:r w:rsidRPr="00460355">
        <w:rPr>
          <w:sz w:val="22"/>
          <w:szCs w:val="22"/>
        </w:rPr>
        <w:t xml:space="preserve"> maintenance considerations.</w:t>
      </w:r>
    </w:p>
    <w:p w14:paraId="0780A92E" w14:textId="3DD0059C" w:rsidR="004345F7" w:rsidRPr="00460355" w:rsidRDefault="004345F7" w:rsidP="00AD1F1B">
      <w:pPr>
        <w:pStyle w:val="ListParagraph"/>
        <w:numPr>
          <w:ilvl w:val="0"/>
          <w:numId w:val="11"/>
        </w:numPr>
        <w:jc w:val="both"/>
        <w:rPr>
          <w:b/>
          <w:bCs/>
          <w:sz w:val="22"/>
          <w:szCs w:val="22"/>
        </w:rPr>
      </w:pPr>
      <w:r w:rsidRPr="00460355">
        <w:rPr>
          <w:b/>
          <w:bCs/>
          <w:sz w:val="22"/>
          <w:szCs w:val="22"/>
        </w:rPr>
        <w:t>Next Steps</w:t>
      </w:r>
    </w:p>
    <w:p w14:paraId="53C7F25F" w14:textId="19550B73" w:rsidR="004345F7" w:rsidRPr="00460355" w:rsidRDefault="004345F7" w:rsidP="00AD1F1B">
      <w:pPr>
        <w:jc w:val="both"/>
        <w:rPr>
          <w:sz w:val="22"/>
          <w:szCs w:val="22"/>
        </w:rPr>
      </w:pPr>
      <w:r w:rsidRPr="00460355">
        <w:rPr>
          <w:sz w:val="22"/>
          <w:szCs w:val="22"/>
        </w:rPr>
        <w:lastRenderedPageBreak/>
        <w:t>Overview of the upcoming steps, including issuance of the Specific Procurement Notice and a post-event Microsoft Forms survey to gather additional detailed feedback.</w:t>
      </w:r>
    </w:p>
    <w:p w14:paraId="38AA17E1" w14:textId="160081DD" w:rsidR="004345F7" w:rsidRPr="00460355" w:rsidRDefault="004345F7" w:rsidP="00AD1F1B">
      <w:pPr>
        <w:pStyle w:val="ListParagraph"/>
        <w:numPr>
          <w:ilvl w:val="0"/>
          <w:numId w:val="11"/>
        </w:numPr>
        <w:jc w:val="both"/>
        <w:rPr>
          <w:b/>
          <w:bCs/>
          <w:sz w:val="22"/>
          <w:szCs w:val="22"/>
        </w:rPr>
      </w:pPr>
      <w:r w:rsidRPr="00460355">
        <w:rPr>
          <w:b/>
          <w:bCs/>
          <w:sz w:val="22"/>
          <w:szCs w:val="22"/>
        </w:rPr>
        <w:t>Q&amp;A and Closing Remarks</w:t>
      </w:r>
    </w:p>
    <w:p w14:paraId="04B523BE" w14:textId="318C95BE" w:rsidR="00A111EA" w:rsidRPr="00460355" w:rsidRDefault="004345F7" w:rsidP="00AD1F1B">
      <w:pPr>
        <w:jc w:val="both"/>
      </w:pPr>
      <w:r w:rsidRPr="00460355">
        <w:rPr>
          <w:sz w:val="22"/>
          <w:szCs w:val="22"/>
        </w:rPr>
        <w:t>Open floor for additional questions, summary of key takeaways, and closing thanks to participants.</w:t>
      </w:r>
    </w:p>
    <w:sectPr w:rsidR="00A111EA" w:rsidRPr="00460355">
      <w:footerReference w:type="even" r:id="rId15"/>
      <w:footerReference w:type="defaul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53DCB" w14:textId="77777777" w:rsidR="003E15A0" w:rsidRDefault="003E15A0" w:rsidP="00B11040">
      <w:pPr>
        <w:spacing w:after="0" w:line="240" w:lineRule="auto"/>
      </w:pPr>
      <w:r>
        <w:separator/>
      </w:r>
    </w:p>
  </w:endnote>
  <w:endnote w:type="continuationSeparator" w:id="0">
    <w:p w14:paraId="59BB6989" w14:textId="77777777" w:rsidR="003E15A0" w:rsidRDefault="003E15A0" w:rsidP="00B11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9EC19" w14:textId="714A1EB6" w:rsidR="00C26C78" w:rsidRDefault="00C26C78">
    <w:pPr>
      <w:pStyle w:val="Footer"/>
    </w:pPr>
    <w:r>
      <w:rPr>
        <w:noProof/>
      </w:rPr>
      <mc:AlternateContent>
        <mc:Choice Requires="wps">
          <w:drawing>
            <wp:anchor distT="0" distB="0" distL="0" distR="0" simplePos="0" relativeHeight="251658241" behindDoc="0" locked="0" layoutInCell="1" allowOverlap="1" wp14:anchorId="4389249A" wp14:editId="7F3398D5">
              <wp:simplePos x="635" y="635"/>
              <wp:positionH relativeFrom="page">
                <wp:align>right</wp:align>
              </wp:positionH>
              <wp:positionV relativeFrom="page">
                <wp:align>bottom</wp:align>
              </wp:positionV>
              <wp:extent cx="1170305" cy="370205"/>
              <wp:effectExtent l="0" t="0" r="0" b="0"/>
              <wp:wrapNone/>
              <wp:docPr id="1328439770" name="Text Box 2" descr="Official Use Only">
                <a:extLst xmlns:a="http://schemas.openxmlformats.org/drawingml/2006/main">
                  <a:ext uri="{FF2B5EF4-FFF2-40B4-BE49-F238E27FC236}">
                    <a16:creationId xmlns:a16="http://schemas.microsoft.com/office/drawing/2014/main" id="{9A8A0867-325C-4206-83CE-D64293606263}"/>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0305" cy="370205"/>
                      </a:xfrm>
                      <a:prstGeom prst="rect">
                        <a:avLst/>
                      </a:prstGeom>
                      <a:noFill/>
                      <a:ln>
                        <a:noFill/>
                      </a:ln>
                    </wps:spPr>
                    <wps:txbx>
                      <w:txbxContent>
                        <w:p w14:paraId="5E5CE477" w14:textId="2CB59474" w:rsidR="00C26C78" w:rsidRPr="00C26C78" w:rsidRDefault="00C26C78" w:rsidP="00C26C78">
                          <w:pPr>
                            <w:spacing w:after="0"/>
                            <w:rPr>
                              <w:rFonts w:ascii="Aptos" w:eastAsia="Aptos" w:hAnsi="Aptos" w:cs="Aptos"/>
                              <w:noProof/>
                              <w:color w:val="000000"/>
                              <w:sz w:val="20"/>
                              <w:szCs w:val="20"/>
                            </w:rPr>
                          </w:pPr>
                          <w:r w:rsidRPr="00C26C78">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16="http://schemas.microsoft.com/office/drawing/2014/main" xmlns:a="http://schemas.openxmlformats.org/drawingml/2006/main">
          <w:pict>
            <v:shapetype id="_x0000_t202" coordsize="21600,21600" o:spt="202" path="m,l,21600r21600,l21600,xe" w14:anchorId="4389249A">
              <v:stroke joinstyle="miter"/>
              <v:path gradientshapeok="t" o:connecttype="rect"/>
            </v:shapetype>
            <v:shape id="Text Box 2" style="position:absolute;margin-left:40.95pt;margin-top:0;width:92.15pt;height:29.15pt;z-index:251658241;visibility:visible;mso-wrap-style:none;mso-wrap-distance-left:0;mso-wrap-distance-top:0;mso-wrap-distance-right:0;mso-wrap-distance-bottom:0;mso-position-horizontal:right;mso-position-horizontal-relative:page;mso-position-vertical:bottom;mso-position-vertical-relative:page;v-text-anchor:bottom" alt="Official Use Only"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">
              <v:textbox style="mso-fit-shape-to-text:t" inset="0,0,20pt,15pt">
                <w:txbxContent>
                  <w:p w:rsidRPr="00C26C78" w:rsidR="00C26C78" w:rsidP="00C26C78" w:rsidRDefault="00C26C78" w14:paraId="5E5CE477" w14:textId="2CB59474">
                    <w:pPr>
                      <w:spacing w:after="0"/>
                      <w:rPr>
                        <w:rFonts w:ascii="Aptos" w:hAnsi="Aptos" w:eastAsia="Aptos" w:cs="Aptos"/>
                        <w:noProof/>
                        <w:color w:val="000000"/>
                        <w:sz w:val="20"/>
                        <w:szCs w:val="20"/>
                      </w:rPr>
                    </w:pPr>
                    <w:r w:rsidRPr="00C26C78">
                      <w:rPr>
                        <w:rFonts w:ascii="Aptos" w:hAnsi="Aptos" w:eastAsia="Aptos" w:cs="Aptos"/>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BC638" w14:textId="063BA3D8" w:rsidR="00C26C78" w:rsidRDefault="00C26C78">
    <w:pPr>
      <w:pStyle w:val="Footer"/>
    </w:pPr>
    <w:r>
      <w:rPr>
        <w:noProof/>
      </w:rPr>
      <mc:AlternateContent>
        <mc:Choice Requires="wps">
          <w:drawing>
            <wp:anchor distT="0" distB="0" distL="0" distR="0" simplePos="0" relativeHeight="251658242" behindDoc="0" locked="0" layoutInCell="1" allowOverlap="1" wp14:anchorId="390952D6" wp14:editId="15D9D0E8">
              <wp:simplePos x="914400" y="9420225"/>
              <wp:positionH relativeFrom="page">
                <wp:align>right</wp:align>
              </wp:positionH>
              <wp:positionV relativeFrom="page">
                <wp:align>bottom</wp:align>
              </wp:positionV>
              <wp:extent cx="1170305" cy="370205"/>
              <wp:effectExtent l="0" t="0" r="0" b="0"/>
              <wp:wrapNone/>
              <wp:docPr id="1288625079" name="Text Box 3" descr="Official Use Only">
                <a:extLst xmlns:a="http://schemas.openxmlformats.org/drawingml/2006/main">
                  <a:ext uri="{FF2B5EF4-FFF2-40B4-BE49-F238E27FC236}">
                    <a16:creationId xmlns:a16="http://schemas.microsoft.com/office/drawing/2014/main" id="{0250B367-C2C7-4B51-A445-2CC98BEB64C5}"/>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0305" cy="370205"/>
                      </a:xfrm>
                      <a:prstGeom prst="rect">
                        <a:avLst/>
                      </a:prstGeom>
                      <a:noFill/>
                      <a:ln>
                        <a:noFill/>
                      </a:ln>
                    </wps:spPr>
                    <wps:txbx>
                      <w:txbxContent>
                        <w:p w14:paraId="5F281317" w14:textId="1F7146FA" w:rsidR="00C26C78" w:rsidRPr="00C26C78" w:rsidRDefault="00C26C78" w:rsidP="00C26C78">
                          <w:pPr>
                            <w:spacing w:after="0"/>
                            <w:rPr>
                              <w:rFonts w:ascii="Aptos" w:eastAsia="Aptos" w:hAnsi="Aptos" w:cs="Aptos"/>
                              <w:noProof/>
                              <w:color w:val="000000"/>
                              <w:sz w:val="20"/>
                              <w:szCs w:val="20"/>
                            </w:rPr>
                          </w:pPr>
                          <w:r w:rsidRPr="00C26C78">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16="http://schemas.microsoft.com/office/drawing/2014/main" xmlns:a="http://schemas.openxmlformats.org/drawingml/2006/main">
          <w:pict>
            <v:shapetype id="_x0000_t202" coordsize="21600,21600" o:spt="202" path="m,l,21600r21600,l21600,xe" w14:anchorId="390952D6">
              <v:stroke joinstyle="miter"/>
              <v:path gradientshapeok="t" o:connecttype="rect"/>
            </v:shapetype>
            <v:shape id="Text Box 3" style="position:absolute;margin-left:40.95pt;margin-top:0;width:92.15pt;height:29.15pt;z-index:251658242;visibility:visible;mso-wrap-style:none;mso-wrap-distance-left:0;mso-wrap-distance-top:0;mso-wrap-distance-right:0;mso-wrap-distance-bottom:0;mso-position-horizontal:right;mso-position-horizontal-relative:page;mso-position-vertical:bottom;mso-position-vertical-relative:page;v-text-anchor:bottom" alt="Official Use Only"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">
              <v:textbox style="mso-fit-shape-to-text:t" inset="0,0,20pt,15pt">
                <w:txbxContent>
                  <w:p w:rsidRPr="00C26C78" w:rsidR="00C26C78" w:rsidP="00C26C78" w:rsidRDefault="00C26C78" w14:paraId="5F281317" w14:textId="1F7146FA">
                    <w:pPr>
                      <w:spacing w:after="0"/>
                      <w:rPr>
                        <w:rFonts w:ascii="Aptos" w:hAnsi="Aptos" w:eastAsia="Aptos" w:cs="Aptos"/>
                        <w:noProof/>
                        <w:color w:val="000000"/>
                        <w:sz w:val="20"/>
                        <w:szCs w:val="20"/>
                      </w:rPr>
                    </w:pPr>
                    <w:r w:rsidRPr="00C26C78">
                      <w:rPr>
                        <w:rFonts w:ascii="Aptos" w:hAnsi="Aptos" w:eastAsia="Aptos" w:cs="Aptos"/>
                        <w:noProof/>
                        <w:color w:val="000000"/>
                        <w:sz w:val="20"/>
                        <w:szCs w:val="20"/>
                      </w:rPr>
                      <w:t>Official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E9C2E" w14:textId="722A5AB8" w:rsidR="00C26C78" w:rsidRDefault="00C26C78">
    <w:pPr>
      <w:pStyle w:val="Footer"/>
    </w:pPr>
    <w:r>
      <w:rPr>
        <w:noProof/>
      </w:rPr>
      <mc:AlternateContent>
        <mc:Choice Requires="wps">
          <w:drawing>
            <wp:anchor distT="0" distB="0" distL="0" distR="0" simplePos="0" relativeHeight="251658240" behindDoc="0" locked="0" layoutInCell="1" allowOverlap="1" wp14:anchorId="5DE7341C" wp14:editId="02B039DA">
              <wp:simplePos x="635" y="635"/>
              <wp:positionH relativeFrom="page">
                <wp:align>right</wp:align>
              </wp:positionH>
              <wp:positionV relativeFrom="page">
                <wp:align>bottom</wp:align>
              </wp:positionV>
              <wp:extent cx="1170305" cy="370205"/>
              <wp:effectExtent l="0" t="0" r="0" b="0"/>
              <wp:wrapNone/>
              <wp:docPr id="799990160" name="Text Box 1" descr="Official Use Only">
                <a:extLst xmlns:a="http://schemas.openxmlformats.org/drawingml/2006/main">
                  <a:ext uri="{FF2B5EF4-FFF2-40B4-BE49-F238E27FC236}">
                    <a16:creationId xmlns:a16="http://schemas.microsoft.com/office/drawing/2014/main" id="{D2322FBF-63EC-4C8B-83D6-F21F5E31EFF8}"/>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0305" cy="370205"/>
                      </a:xfrm>
                      <a:prstGeom prst="rect">
                        <a:avLst/>
                      </a:prstGeom>
                      <a:noFill/>
                      <a:ln>
                        <a:noFill/>
                      </a:ln>
                    </wps:spPr>
                    <wps:txbx>
                      <w:txbxContent>
                        <w:p w14:paraId="576E90E6" w14:textId="47B9B04E" w:rsidR="00C26C78" w:rsidRPr="00C26C78" w:rsidRDefault="00C26C78" w:rsidP="00C26C78">
                          <w:pPr>
                            <w:spacing w:after="0"/>
                            <w:rPr>
                              <w:rFonts w:ascii="Aptos" w:eastAsia="Aptos" w:hAnsi="Aptos" w:cs="Aptos"/>
                              <w:noProof/>
                              <w:color w:val="000000"/>
                              <w:sz w:val="20"/>
                              <w:szCs w:val="20"/>
                            </w:rPr>
                          </w:pPr>
                          <w:r w:rsidRPr="00C26C78">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16="http://schemas.microsoft.com/office/drawing/2014/main" xmlns:a="http://schemas.openxmlformats.org/drawingml/2006/main">
          <w:pict>
            <v:shapetype id="_x0000_t202" coordsize="21600,21600" o:spt="202" path="m,l,21600r21600,l21600,xe" w14:anchorId="5DE7341C">
              <v:stroke joinstyle="miter"/>
              <v:path gradientshapeok="t" o:connecttype="rect"/>
            </v:shapetype>
            <v:shape id="Text Box 1" style="position:absolute;margin-left:40.95pt;margin-top:0;width:92.15pt;height:29.15pt;z-index:251658240;visibility:visible;mso-wrap-style:none;mso-wrap-distance-left:0;mso-wrap-distance-top:0;mso-wrap-distance-right:0;mso-wrap-distance-bottom:0;mso-position-horizontal:right;mso-position-horizontal-relative:page;mso-position-vertical:bottom;mso-position-vertical-relative:page;v-text-anchor:bottom" alt="Official Use Only"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">
              <v:textbox style="mso-fit-shape-to-text:t" inset="0,0,20pt,15pt">
                <w:txbxContent>
                  <w:p w:rsidRPr="00C26C78" w:rsidR="00C26C78" w:rsidP="00C26C78" w:rsidRDefault="00C26C78" w14:paraId="576E90E6" w14:textId="47B9B04E">
                    <w:pPr>
                      <w:spacing w:after="0"/>
                      <w:rPr>
                        <w:rFonts w:ascii="Aptos" w:hAnsi="Aptos" w:eastAsia="Aptos" w:cs="Aptos"/>
                        <w:noProof/>
                        <w:color w:val="000000"/>
                        <w:sz w:val="20"/>
                        <w:szCs w:val="20"/>
                      </w:rPr>
                    </w:pPr>
                    <w:r w:rsidRPr="00C26C78">
                      <w:rPr>
                        <w:rFonts w:ascii="Aptos" w:hAnsi="Aptos" w:eastAsia="Aptos" w:cs="Aptos"/>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D2FE4" w14:textId="77777777" w:rsidR="003E15A0" w:rsidRDefault="003E15A0" w:rsidP="00B11040">
      <w:pPr>
        <w:spacing w:after="0" w:line="240" w:lineRule="auto"/>
      </w:pPr>
      <w:r>
        <w:separator/>
      </w:r>
    </w:p>
  </w:footnote>
  <w:footnote w:type="continuationSeparator" w:id="0">
    <w:p w14:paraId="54366A56" w14:textId="77777777" w:rsidR="003E15A0" w:rsidRDefault="003E15A0" w:rsidP="00B11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B61DE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45AEBE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D2B19B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F957E09"/>
    <w:multiLevelType w:val="hybridMultilevel"/>
    <w:tmpl w:val="80327D1A"/>
    <w:lvl w:ilvl="0" w:tplc="B63A5E9C">
      <w:start w:val="1"/>
      <w:numFmt w:val="decimal"/>
      <w:lvlText w:val="%1."/>
      <w:lvlJc w:val="left"/>
      <w:pPr>
        <w:ind w:left="360" w:hanging="360"/>
      </w:pPr>
      <w:rPr>
        <w:b/>
        <w:bCs/>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F326853"/>
    <w:multiLevelType w:val="hybridMultilevel"/>
    <w:tmpl w:val="C9F087DC"/>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8256401"/>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6662EFA"/>
    <w:multiLevelType w:val="hybridMultilevel"/>
    <w:tmpl w:val="692EA0E6"/>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9D8945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12FFF6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DEA40F3"/>
    <w:multiLevelType w:val="hybridMultilevel"/>
    <w:tmpl w:val="E5383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6B3D00"/>
    <w:multiLevelType w:val="hybridMultilevel"/>
    <w:tmpl w:val="BE08C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E468BF"/>
    <w:multiLevelType w:val="hybridMultilevel"/>
    <w:tmpl w:val="5B2AAD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104804">
    <w:abstractNumId w:val="7"/>
  </w:num>
  <w:num w:numId="2" w16cid:durableId="924532429">
    <w:abstractNumId w:val="1"/>
  </w:num>
  <w:num w:numId="3" w16cid:durableId="2092773020">
    <w:abstractNumId w:val="5"/>
  </w:num>
  <w:num w:numId="4" w16cid:durableId="1645114592">
    <w:abstractNumId w:val="2"/>
  </w:num>
  <w:num w:numId="5" w16cid:durableId="250772931">
    <w:abstractNumId w:val="0"/>
  </w:num>
  <w:num w:numId="6" w16cid:durableId="104732729">
    <w:abstractNumId w:val="8"/>
  </w:num>
  <w:num w:numId="7" w16cid:durableId="1593931580">
    <w:abstractNumId w:val="3"/>
  </w:num>
  <w:num w:numId="8" w16cid:durableId="386341284">
    <w:abstractNumId w:val="4"/>
  </w:num>
  <w:num w:numId="9" w16cid:durableId="160124794">
    <w:abstractNumId w:val="9"/>
  </w:num>
  <w:num w:numId="10" w16cid:durableId="1869101948">
    <w:abstractNumId w:val="6"/>
  </w:num>
  <w:num w:numId="11" w16cid:durableId="1270043588">
    <w:abstractNumId w:val="10"/>
  </w:num>
  <w:num w:numId="12" w16cid:durableId="16335171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1EA"/>
    <w:rsid w:val="0000595B"/>
    <w:rsid w:val="00011AE3"/>
    <w:rsid w:val="00013F23"/>
    <w:rsid w:val="000165E2"/>
    <w:rsid w:val="000223BD"/>
    <w:rsid w:val="00031B72"/>
    <w:rsid w:val="00033472"/>
    <w:rsid w:val="000450AB"/>
    <w:rsid w:val="000554BA"/>
    <w:rsid w:val="00067920"/>
    <w:rsid w:val="000743AE"/>
    <w:rsid w:val="000833B1"/>
    <w:rsid w:val="00095E04"/>
    <w:rsid w:val="000A72CC"/>
    <w:rsid w:val="000C1389"/>
    <w:rsid w:val="000C7E41"/>
    <w:rsid w:val="000E166A"/>
    <w:rsid w:val="000E6929"/>
    <w:rsid w:val="000F3BC1"/>
    <w:rsid w:val="00141B3E"/>
    <w:rsid w:val="0015082C"/>
    <w:rsid w:val="00190F96"/>
    <w:rsid w:val="001B72D8"/>
    <w:rsid w:val="001D1085"/>
    <w:rsid w:val="001E2376"/>
    <w:rsid w:val="001E5839"/>
    <w:rsid w:val="00207A9F"/>
    <w:rsid w:val="00210BAD"/>
    <w:rsid w:val="00216F09"/>
    <w:rsid w:val="00221030"/>
    <w:rsid w:val="0023099B"/>
    <w:rsid w:val="00234A2E"/>
    <w:rsid w:val="0023661D"/>
    <w:rsid w:val="002412AA"/>
    <w:rsid w:val="00243641"/>
    <w:rsid w:val="00260472"/>
    <w:rsid w:val="00272A82"/>
    <w:rsid w:val="0029663E"/>
    <w:rsid w:val="002973C0"/>
    <w:rsid w:val="002D5A43"/>
    <w:rsid w:val="002E744D"/>
    <w:rsid w:val="002F5CD5"/>
    <w:rsid w:val="0031527A"/>
    <w:rsid w:val="003157BB"/>
    <w:rsid w:val="00325B22"/>
    <w:rsid w:val="0034122A"/>
    <w:rsid w:val="00353A72"/>
    <w:rsid w:val="00373525"/>
    <w:rsid w:val="003744F0"/>
    <w:rsid w:val="00380164"/>
    <w:rsid w:val="0038318A"/>
    <w:rsid w:val="003C5A94"/>
    <w:rsid w:val="003E15A0"/>
    <w:rsid w:val="003E20B3"/>
    <w:rsid w:val="003E2CCA"/>
    <w:rsid w:val="00411501"/>
    <w:rsid w:val="0041641C"/>
    <w:rsid w:val="00420D1C"/>
    <w:rsid w:val="00424DC8"/>
    <w:rsid w:val="004325A1"/>
    <w:rsid w:val="004345F7"/>
    <w:rsid w:val="00434748"/>
    <w:rsid w:val="00435898"/>
    <w:rsid w:val="00435FA0"/>
    <w:rsid w:val="00460355"/>
    <w:rsid w:val="004647C6"/>
    <w:rsid w:val="004750EE"/>
    <w:rsid w:val="00483E84"/>
    <w:rsid w:val="00484983"/>
    <w:rsid w:val="0049248B"/>
    <w:rsid w:val="0049699C"/>
    <w:rsid w:val="004AE58A"/>
    <w:rsid w:val="004C3916"/>
    <w:rsid w:val="004C4AD7"/>
    <w:rsid w:val="004C7F02"/>
    <w:rsid w:val="004D16DC"/>
    <w:rsid w:val="004E6B1C"/>
    <w:rsid w:val="004F79B4"/>
    <w:rsid w:val="005119B7"/>
    <w:rsid w:val="005156B4"/>
    <w:rsid w:val="005325BE"/>
    <w:rsid w:val="00532BBE"/>
    <w:rsid w:val="0054094D"/>
    <w:rsid w:val="005618BE"/>
    <w:rsid w:val="00571747"/>
    <w:rsid w:val="00586471"/>
    <w:rsid w:val="005871A7"/>
    <w:rsid w:val="00597842"/>
    <w:rsid w:val="005A1318"/>
    <w:rsid w:val="005B2FBA"/>
    <w:rsid w:val="00601AB9"/>
    <w:rsid w:val="00601AD9"/>
    <w:rsid w:val="00604A80"/>
    <w:rsid w:val="00650326"/>
    <w:rsid w:val="006636F9"/>
    <w:rsid w:val="00665430"/>
    <w:rsid w:val="00666774"/>
    <w:rsid w:val="006869D7"/>
    <w:rsid w:val="006A0FA7"/>
    <w:rsid w:val="006B164B"/>
    <w:rsid w:val="006B4D82"/>
    <w:rsid w:val="006C3BE9"/>
    <w:rsid w:val="006C3DAA"/>
    <w:rsid w:val="006D412E"/>
    <w:rsid w:val="006D5A94"/>
    <w:rsid w:val="006E2082"/>
    <w:rsid w:val="006F6F39"/>
    <w:rsid w:val="00704B64"/>
    <w:rsid w:val="0074504D"/>
    <w:rsid w:val="00774BCC"/>
    <w:rsid w:val="007B430C"/>
    <w:rsid w:val="007C3D25"/>
    <w:rsid w:val="007E48B2"/>
    <w:rsid w:val="00821C1E"/>
    <w:rsid w:val="0083151D"/>
    <w:rsid w:val="00836047"/>
    <w:rsid w:val="0087424B"/>
    <w:rsid w:val="008A056D"/>
    <w:rsid w:val="008B27C2"/>
    <w:rsid w:val="008C1566"/>
    <w:rsid w:val="008F0376"/>
    <w:rsid w:val="008F13DD"/>
    <w:rsid w:val="008F6234"/>
    <w:rsid w:val="00906B78"/>
    <w:rsid w:val="009472F9"/>
    <w:rsid w:val="00952C7A"/>
    <w:rsid w:val="00953F59"/>
    <w:rsid w:val="00956F40"/>
    <w:rsid w:val="0096461E"/>
    <w:rsid w:val="00982F33"/>
    <w:rsid w:val="00987A52"/>
    <w:rsid w:val="00997AF6"/>
    <w:rsid w:val="009B0633"/>
    <w:rsid w:val="009C163D"/>
    <w:rsid w:val="009C3DA0"/>
    <w:rsid w:val="009E2A87"/>
    <w:rsid w:val="009E509F"/>
    <w:rsid w:val="009E535B"/>
    <w:rsid w:val="009E7809"/>
    <w:rsid w:val="009F7186"/>
    <w:rsid w:val="00A111EA"/>
    <w:rsid w:val="00A2039B"/>
    <w:rsid w:val="00A466DA"/>
    <w:rsid w:val="00A65A6A"/>
    <w:rsid w:val="00A7164D"/>
    <w:rsid w:val="00A734E7"/>
    <w:rsid w:val="00A86BB0"/>
    <w:rsid w:val="00A877CB"/>
    <w:rsid w:val="00A92E97"/>
    <w:rsid w:val="00AC0813"/>
    <w:rsid w:val="00AC6484"/>
    <w:rsid w:val="00AD1F1B"/>
    <w:rsid w:val="00AE08E2"/>
    <w:rsid w:val="00AF30EE"/>
    <w:rsid w:val="00B11040"/>
    <w:rsid w:val="00B1580F"/>
    <w:rsid w:val="00B21681"/>
    <w:rsid w:val="00B2D88C"/>
    <w:rsid w:val="00B335D0"/>
    <w:rsid w:val="00B47194"/>
    <w:rsid w:val="00B53FE0"/>
    <w:rsid w:val="00B8118C"/>
    <w:rsid w:val="00B937CC"/>
    <w:rsid w:val="00B96C90"/>
    <w:rsid w:val="00BB7A3B"/>
    <w:rsid w:val="00BC31C8"/>
    <w:rsid w:val="00BD2D71"/>
    <w:rsid w:val="00BD642C"/>
    <w:rsid w:val="00BF1E3A"/>
    <w:rsid w:val="00BF2560"/>
    <w:rsid w:val="00BF5709"/>
    <w:rsid w:val="00C010ED"/>
    <w:rsid w:val="00C255D9"/>
    <w:rsid w:val="00C26C78"/>
    <w:rsid w:val="00C302DF"/>
    <w:rsid w:val="00C52D64"/>
    <w:rsid w:val="00C8297B"/>
    <w:rsid w:val="00C868C5"/>
    <w:rsid w:val="00C95E1F"/>
    <w:rsid w:val="00CA135F"/>
    <w:rsid w:val="00CB0FE2"/>
    <w:rsid w:val="00CB797D"/>
    <w:rsid w:val="00CC5C65"/>
    <w:rsid w:val="00CE44DC"/>
    <w:rsid w:val="00D27E81"/>
    <w:rsid w:val="00D34096"/>
    <w:rsid w:val="00D4274F"/>
    <w:rsid w:val="00D427E1"/>
    <w:rsid w:val="00D47A9F"/>
    <w:rsid w:val="00D5026F"/>
    <w:rsid w:val="00D57E60"/>
    <w:rsid w:val="00D70AB2"/>
    <w:rsid w:val="00D90EFF"/>
    <w:rsid w:val="00D93206"/>
    <w:rsid w:val="00D95006"/>
    <w:rsid w:val="00DA5464"/>
    <w:rsid w:val="00DE3CFD"/>
    <w:rsid w:val="00DF433E"/>
    <w:rsid w:val="00E000E1"/>
    <w:rsid w:val="00E32768"/>
    <w:rsid w:val="00E32E09"/>
    <w:rsid w:val="00E428E6"/>
    <w:rsid w:val="00E93519"/>
    <w:rsid w:val="00ED083D"/>
    <w:rsid w:val="00ED6EB3"/>
    <w:rsid w:val="00F64DBE"/>
    <w:rsid w:val="00F6535D"/>
    <w:rsid w:val="00F722E3"/>
    <w:rsid w:val="00F729F1"/>
    <w:rsid w:val="00FC4C53"/>
    <w:rsid w:val="00FC5FBF"/>
    <w:rsid w:val="00FE45D5"/>
    <w:rsid w:val="00FE4FA5"/>
    <w:rsid w:val="05DED6C6"/>
    <w:rsid w:val="07244693"/>
    <w:rsid w:val="075F4E08"/>
    <w:rsid w:val="08889C67"/>
    <w:rsid w:val="08E618D2"/>
    <w:rsid w:val="091AB1B0"/>
    <w:rsid w:val="0979A411"/>
    <w:rsid w:val="0A15B365"/>
    <w:rsid w:val="0A92F785"/>
    <w:rsid w:val="0CF46141"/>
    <w:rsid w:val="0F76AAF6"/>
    <w:rsid w:val="0F802381"/>
    <w:rsid w:val="11B2118B"/>
    <w:rsid w:val="121C3CF5"/>
    <w:rsid w:val="129E43CC"/>
    <w:rsid w:val="134A4152"/>
    <w:rsid w:val="145754BE"/>
    <w:rsid w:val="15746731"/>
    <w:rsid w:val="169270C2"/>
    <w:rsid w:val="16ADE09B"/>
    <w:rsid w:val="170BA4AA"/>
    <w:rsid w:val="18A5C430"/>
    <w:rsid w:val="1941FE9C"/>
    <w:rsid w:val="1A1797C5"/>
    <w:rsid w:val="1AA9E60B"/>
    <w:rsid w:val="1B3B16A5"/>
    <w:rsid w:val="1BE5788A"/>
    <w:rsid w:val="1BF1D9DC"/>
    <w:rsid w:val="1DE635B4"/>
    <w:rsid w:val="1E7032FF"/>
    <w:rsid w:val="1E781811"/>
    <w:rsid w:val="20CA6AB5"/>
    <w:rsid w:val="20E2A156"/>
    <w:rsid w:val="2253436B"/>
    <w:rsid w:val="2687F4D5"/>
    <w:rsid w:val="288E9072"/>
    <w:rsid w:val="2926FFD9"/>
    <w:rsid w:val="29886A2B"/>
    <w:rsid w:val="2A2E780A"/>
    <w:rsid w:val="2C8A0970"/>
    <w:rsid w:val="2DAA114C"/>
    <w:rsid w:val="2E1D871D"/>
    <w:rsid w:val="2E25541E"/>
    <w:rsid w:val="2F08D39F"/>
    <w:rsid w:val="2FF1030F"/>
    <w:rsid w:val="3143CB9E"/>
    <w:rsid w:val="31B7BBF4"/>
    <w:rsid w:val="323D6658"/>
    <w:rsid w:val="32ADCA2A"/>
    <w:rsid w:val="32C64C9F"/>
    <w:rsid w:val="35D61711"/>
    <w:rsid w:val="36B93441"/>
    <w:rsid w:val="36D06547"/>
    <w:rsid w:val="38CF7824"/>
    <w:rsid w:val="391F09A2"/>
    <w:rsid w:val="3A2BC290"/>
    <w:rsid w:val="3A3576F4"/>
    <w:rsid w:val="3A4019DF"/>
    <w:rsid w:val="3A7A0747"/>
    <w:rsid w:val="3D48C637"/>
    <w:rsid w:val="3D4A5C0B"/>
    <w:rsid w:val="3DBDAD67"/>
    <w:rsid w:val="3DE4FD74"/>
    <w:rsid w:val="3E145F79"/>
    <w:rsid w:val="41C44B42"/>
    <w:rsid w:val="4260CB33"/>
    <w:rsid w:val="44A7947F"/>
    <w:rsid w:val="458BAB00"/>
    <w:rsid w:val="45BD528E"/>
    <w:rsid w:val="462C19F9"/>
    <w:rsid w:val="484F989A"/>
    <w:rsid w:val="49F2E67B"/>
    <w:rsid w:val="4A2A18AD"/>
    <w:rsid w:val="4B79D7AE"/>
    <w:rsid w:val="4D7F3CFE"/>
    <w:rsid w:val="4E342058"/>
    <w:rsid w:val="4F44E448"/>
    <w:rsid w:val="5136598F"/>
    <w:rsid w:val="5151A9A8"/>
    <w:rsid w:val="51B28562"/>
    <w:rsid w:val="52205118"/>
    <w:rsid w:val="52778373"/>
    <w:rsid w:val="57845BCF"/>
    <w:rsid w:val="580AD927"/>
    <w:rsid w:val="58219F88"/>
    <w:rsid w:val="58A5A565"/>
    <w:rsid w:val="58CD5048"/>
    <w:rsid w:val="5AF14B50"/>
    <w:rsid w:val="5BE77F7A"/>
    <w:rsid w:val="5FE1D0A6"/>
    <w:rsid w:val="60C12A36"/>
    <w:rsid w:val="634F97FF"/>
    <w:rsid w:val="645E835E"/>
    <w:rsid w:val="6516F21C"/>
    <w:rsid w:val="652F9667"/>
    <w:rsid w:val="6624334C"/>
    <w:rsid w:val="665233CB"/>
    <w:rsid w:val="67E908FB"/>
    <w:rsid w:val="69891D05"/>
    <w:rsid w:val="6ABE0AC8"/>
    <w:rsid w:val="6AC88A33"/>
    <w:rsid w:val="6B38A9C4"/>
    <w:rsid w:val="6BA56BBA"/>
    <w:rsid w:val="6C98D133"/>
    <w:rsid w:val="6FAC5610"/>
    <w:rsid w:val="74B5FA40"/>
    <w:rsid w:val="760BD78A"/>
    <w:rsid w:val="7845D48C"/>
    <w:rsid w:val="7899C84D"/>
    <w:rsid w:val="78DE5EF8"/>
    <w:rsid w:val="790E9607"/>
    <w:rsid w:val="79A0C786"/>
    <w:rsid w:val="7A36F34A"/>
    <w:rsid w:val="7ABA8CEB"/>
    <w:rsid w:val="7AFCAD70"/>
    <w:rsid w:val="7B4A8DD1"/>
    <w:rsid w:val="7BACB856"/>
    <w:rsid w:val="7ED8913A"/>
    <w:rsid w:val="7F1CA2F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C8604"/>
  <w15:chartTrackingRefBased/>
  <w15:docId w15:val="{39AD7750-9EE1-4F20-AA8E-D202281A6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11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11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11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11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11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11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11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11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11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11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11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11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11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11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11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11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11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11EA"/>
    <w:rPr>
      <w:rFonts w:eastAsiaTheme="majorEastAsia" w:cstheme="majorBidi"/>
      <w:color w:val="272727" w:themeColor="text1" w:themeTint="D8"/>
    </w:rPr>
  </w:style>
  <w:style w:type="paragraph" w:styleId="Title">
    <w:name w:val="Title"/>
    <w:basedOn w:val="Normal"/>
    <w:next w:val="Normal"/>
    <w:link w:val="TitleChar"/>
    <w:uiPriority w:val="10"/>
    <w:qFormat/>
    <w:rsid w:val="00A111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11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11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11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11EA"/>
    <w:pPr>
      <w:spacing w:before="160"/>
      <w:jc w:val="center"/>
    </w:pPr>
    <w:rPr>
      <w:i/>
      <w:iCs/>
      <w:color w:val="404040" w:themeColor="text1" w:themeTint="BF"/>
    </w:rPr>
  </w:style>
  <w:style w:type="character" w:customStyle="1" w:styleId="QuoteChar">
    <w:name w:val="Quote Char"/>
    <w:basedOn w:val="DefaultParagraphFont"/>
    <w:link w:val="Quote"/>
    <w:uiPriority w:val="29"/>
    <w:rsid w:val="00A111EA"/>
    <w:rPr>
      <w:i/>
      <w:iCs/>
      <w:color w:val="404040" w:themeColor="text1" w:themeTint="BF"/>
    </w:rPr>
  </w:style>
  <w:style w:type="paragraph" w:styleId="ListParagraph">
    <w:name w:val="List Paragraph"/>
    <w:basedOn w:val="Normal"/>
    <w:uiPriority w:val="34"/>
    <w:qFormat/>
    <w:rsid w:val="00A111EA"/>
    <w:pPr>
      <w:ind w:left="720"/>
      <w:contextualSpacing/>
    </w:pPr>
  </w:style>
  <w:style w:type="character" w:styleId="IntenseEmphasis">
    <w:name w:val="Intense Emphasis"/>
    <w:basedOn w:val="DefaultParagraphFont"/>
    <w:uiPriority w:val="21"/>
    <w:qFormat/>
    <w:rsid w:val="00A111EA"/>
    <w:rPr>
      <w:i/>
      <w:iCs/>
      <w:color w:val="0F4761" w:themeColor="accent1" w:themeShade="BF"/>
    </w:rPr>
  </w:style>
  <w:style w:type="paragraph" w:styleId="IntenseQuote">
    <w:name w:val="Intense Quote"/>
    <w:basedOn w:val="Normal"/>
    <w:next w:val="Normal"/>
    <w:link w:val="IntenseQuoteChar"/>
    <w:uiPriority w:val="30"/>
    <w:qFormat/>
    <w:rsid w:val="00A111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11EA"/>
    <w:rPr>
      <w:i/>
      <w:iCs/>
      <w:color w:val="0F4761" w:themeColor="accent1" w:themeShade="BF"/>
    </w:rPr>
  </w:style>
  <w:style w:type="character" w:styleId="IntenseReference">
    <w:name w:val="Intense Reference"/>
    <w:basedOn w:val="DefaultParagraphFont"/>
    <w:uiPriority w:val="32"/>
    <w:qFormat/>
    <w:rsid w:val="00A111EA"/>
    <w:rPr>
      <w:b/>
      <w:bCs/>
      <w:smallCaps/>
      <w:color w:val="0F4761" w:themeColor="accent1" w:themeShade="BF"/>
      <w:spacing w:val="5"/>
    </w:rPr>
  </w:style>
  <w:style w:type="character" w:styleId="Hyperlink">
    <w:name w:val="Hyperlink"/>
    <w:basedOn w:val="DefaultParagraphFont"/>
    <w:uiPriority w:val="99"/>
    <w:unhideWhenUsed/>
    <w:rsid w:val="005871A7"/>
    <w:rPr>
      <w:color w:val="467886" w:themeColor="hyperlink"/>
      <w:u w:val="single"/>
    </w:rPr>
  </w:style>
  <w:style w:type="character" w:customStyle="1" w:styleId="s1">
    <w:name w:val="s1"/>
    <w:basedOn w:val="DefaultParagraphFont"/>
    <w:rsid w:val="005871A7"/>
  </w:style>
  <w:style w:type="paragraph" w:customStyle="1" w:styleId="p4">
    <w:name w:val="p4"/>
    <w:basedOn w:val="Normal"/>
    <w:rsid w:val="005871A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2">
    <w:name w:val="s2"/>
    <w:basedOn w:val="DefaultParagraphFont"/>
    <w:rsid w:val="005871A7"/>
  </w:style>
  <w:style w:type="character" w:styleId="CommentReference">
    <w:name w:val="annotation reference"/>
    <w:basedOn w:val="DefaultParagraphFont"/>
    <w:uiPriority w:val="99"/>
    <w:semiHidden/>
    <w:unhideWhenUsed/>
    <w:rsid w:val="005871A7"/>
    <w:rPr>
      <w:sz w:val="16"/>
      <w:szCs w:val="16"/>
    </w:rPr>
  </w:style>
  <w:style w:type="paragraph" w:styleId="CommentText">
    <w:name w:val="annotation text"/>
    <w:basedOn w:val="Normal"/>
    <w:link w:val="CommentTextChar"/>
    <w:uiPriority w:val="99"/>
    <w:unhideWhenUsed/>
    <w:rsid w:val="005871A7"/>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5871A7"/>
    <w:rPr>
      <w:rFonts w:ascii="Times New Roman" w:eastAsia="Times New Roman" w:hAnsi="Times New Roman" w:cs="Times New Roman"/>
      <w:kern w:val="0"/>
      <w:sz w:val="20"/>
      <w:szCs w:val="20"/>
      <w14:ligatures w14:val="none"/>
    </w:rPr>
  </w:style>
  <w:style w:type="paragraph" w:customStyle="1" w:styleId="Default">
    <w:name w:val="Default"/>
    <w:rsid w:val="005871A7"/>
    <w:pPr>
      <w:autoSpaceDE w:val="0"/>
      <w:autoSpaceDN w:val="0"/>
      <w:adjustRightInd w:val="0"/>
      <w:spacing w:after="0" w:line="240" w:lineRule="auto"/>
    </w:pPr>
    <w:rPr>
      <w:rFonts w:ascii="Aptos" w:hAnsi="Aptos" w:cs="Aptos"/>
      <w:color w:val="000000"/>
      <w:kern w:val="0"/>
    </w:rPr>
  </w:style>
  <w:style w:type="paragraph" w:styleId="Header">
    <w:name w:val="header"/>
    <w:basedOn w:val="Normal"/>
    <w:link w:val="HeaderChar"/>
    <w:uiPriority w:val="99"/>
    <w:unhideWhenUsed/>
    <w:rsid w:val="00B110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1040"/>
  </w:style>
  <w:style w:type="paragraph" w:styleId="Footer">
    <w:name w:val="footer"/>
    <w:basedOn w:val="Normal"/>
    <w:link w:val="FooterChar"/>
    <w:uiPriority w:val="99"/>
    <w:unhideWhenUsed/>
    <w:rsid w:val="00B110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1040"/>
  </w:style>
  <w:style w:type="character" w:styleId="UnresolvedMention">
    <w:name w:val="Unresolved Mention"/>
    <w:basedOn w:val="DefaultParagraphFont"/>
    <w:uiPriority w:val="99"/>
    <w:semiHidden/>
    <w:unhideWhenUsed/>
    <w:rsid w:val="00DA546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A5464"/>
    <w:pPr>
      <w:spacing w:after="160"/>
    </w:pPr>
    <w:rPr>
      <w:rFonts w:asciiTheme="minorHAnsi" w:eastAsiaTheme="minorEastAsia"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DA5464"/>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D95006"/>
    <w:pPr>
      <w:spacing w:after="0" w:line="240" w:lineRule="auto"/>
    </w:pPr>
  </w:style>
  <w:style w:type="character" w:styleId="FollowedHyperlink">
    <w:name w:val="FollowedHyperlink"/>
    <w:basedOn w:val="DefaultParagraphFont"/>
    <w:uiPriority w:val="99"/>
    <w:semiHidden/>
    <w:unhideWhenUsed/>
    <w:rsid w:val="006C3BE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endy.brizan@procurement.gov.gd"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cuments.worldbank.org/en/publication/documents-reports/documentdetail/099021025152020140"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r/6XMAXACi5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lalsingh@grenle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887c40f3-0ca8-4cb2-84b7-5d2bad353749" xsi:nil="true"/>
    <_ip_UnifiedCompliancePolicyProperties xmlns="http://schemas.microsoft.com/sharepoint/v3" xsi:nil="true"/>
    <lcf76f155ced4ddcb4097134ff3c332f xmlns="080b443a-8482-4ea0-b1c7-f5a0b2da049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BD599690930048808FD2CB18178816" ma:contentTypeVersion="15" ma:contentTypeDescription="Create a new document." ma:contentTypeScope="" ma:versionID="ecf105bdb25425c481c86405f78b9182">
  <xsd:schema xmlns:xsd="http://www.w3.org/2001/XMLSchema" xmlns:xs="http://www.w3.org/2001/XMLSchema" xmlns:p="http://schemas.microsoft.com/office/2006/metadata/properties" xmlns:ns1="http://schemas.microsoft.com/sharepoint/v3" xmlns:ns2="080b443a-8482-4ea0-b1c7-f5a0b2da0491" xmlns:ns3="887c40f3-0ca8-4cb2-84b7-5d2bad353749" targetNamespace="http://schemas.microsoft.com/office/2006/metadata/properties" ma:root="true" ma:fieldsID="139941b609a88475957cb40b2d8b933e" ns1:_="" ns2:_="" ns3:_="">
    <xsd:import namespace="http://schemas.microsoft.com/sharepoint/v3"/>
    <xsd:import namespace="080b443a-8482-4ea0-b1c7-f5a0b2da0491"/>
    <xsd:import namespace="887c40f3-0ca8-4cb2-84b7-5d2bad3537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0b443a-8482-4ea0-b1c7-f5a0b2da04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7c40f3-0ca8-4cb2-84b7-5d2bad35374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f94d01e-f828-4086-98d4-16e66052bcf1}" ma:internalName="TaxCatchAll" ma:showField="CatchAllData" ma:web="887c40f3-0ca8-4cb2-84b7-5d2bad3537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4AEAD7-2144-4F8F-9A2D-D0AC18F8CC81}">
  <ds:schemaRefs>
    <ds:schemaRef ds:uri="http://schemas.openxmlformats.org/officeDocument/2006/bibliography"/>
  </ds:schemaRefs>
</ds:datastoreItem>
</file>

<file path=customXml/itemProps2.xml><?xml version="1.0" encoding="utf-8"?>
<ds:datastoreItem xmlns:ds="http://schemas.openxmlformats.org/officeDocument/2006/customXml" ds:itemID="{B0C48D8F-D59D-408F-85B8-7B0B782EED41}">
  <ds:schemaRefs>
    <ds:schemaRef ds:uri="http://schemas.openxmlformats.org/package/2006/metadata/core-properties"/>
    <ds:schemaRef ds:uri="http://purl.org/dc/elements/1.1/"/>
    <ds:schemaRef ds:uri="http://schemas.microsoft.com/office/2006/metadata/properties"/>
    <ds:schemaRef ds:uri="http://purl.org/dc/terms/"/>
    <ds:schemaRef ds:uri="887c40f3-0ca8-4cb2-84b7-5d2bad353749"/>
    <ds:schemaRef ds:uri="080b443a-8482-4ea0-b1c7-f5a0b2da0491"/>
    <ds:schemaRef ds:uri="http://www.w3.org/XML/1998/namespace"/>
    <ds:schemaRef ds:uri="http://schemas.microsoft.com/sharepoint/v3"/>
    <ds:schemaRef ds:uri="http://purl.org/dc/dcmitype/"/>
    <ds:schemaRef ds:uri="http://schemas.microsoft.com/office/2006/documentManagement/types"/>
    <ds:schemaRef ds:uri="http://schemas.microsoft.com/office/infopath/2007/PartnerControls"/>
  </ds:schemaRefs>
</ds:datastoreItem>
</file>

<file path=customXml/itemProps3.xml><?xml version="1.0" encoding="utf-8"?>
<ds:datastoreItem xmlns:ds="http://schemas.openxmlformats.org/officeDocument/2006/customXml" ds:itemID="{ACC64608-4DD7-41C2-89FC-89B68887D3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0b443a-8482-4ea0-b1c7-f5a0b2da0491"/>
    <ds:schemaRef ds:uri="887c40f3-0ca8-4cb2-84b7-5d2bad3537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EF03F5-133B-473C-BC58-A1B59295D7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1114</Words>
  <Characters>6077</Characters>
  <Application>Microsoft Office Word</Application>
  <DocSecurity>0</DocSecurity>
  <Lines>124</Lines>
  <Paragraphs>57</Paragraphs>
  <ScaleCrop>false</ScaleCrop>
  <Company/>
  <LinksUpToDate>false</LinksUpToDate>
  <CharactersWithSpaces>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Rochelle Simone Johnson</dc:creator>
  <cp:keywords/>
  <dc:description/>
  <cp:lastModifiedBy>Prudence Greenidge</cp:lastModifiedBy>
  <cp:revision>2</cp:revision>
  <dcterms:created xsi:type="dcterms:W3CDTF">2026-03-11T17:29:00Z</dcterms:created>
  <dcterms:modified xsi:type="dcterms:W3CDTF">2026-03-11T17:29:00Z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Text">
    <vt:lpwstr>Official Use Only</vt:lpwstr>
  </property>
  <property fmtid="{D5CDD505-2E9C-101B-9397-08002B2CF9AE}" pid="3" name="MSIP_Label_f1bf45b6-5649-4236-82a3-f45024cd282e_Name">
    <vt:lpwstr>Official Use Only</vt:lpwstr>
  </property>
  <property fmtid="{D5CDD505-2E9C-101B-9397-08002B2CF9AE}" pid="4" name="MSIP_Label_f1bf45b6-5649-4236-82a3-f45024cd282e_Enabled">
    <vt:lpwstr>true</vt:lpwstr>
  </property>
  <property fmtid="{D5CDD505-2E9C-101B-9397-08002B2CF9AE}" pid="5" name="MSIP_Label_f1bf45b6-5649-4236-82a3-f45024cd282e_ActionId">
    <vt:lpwstr>b0eeeda3-5fe9-4f5f-8f92-04a4214b222b</vt:lpwstr>
  </property>
  <property fmtid="{D5CDD505-2E9C-101B-9397-08002B2CF9AE}" pid="6" name="MediaServiceImageTags">
    <vt:lpwstr/>
  </property>
  <property fmtid="{D5CDD505-2E9C-101B-9397-08002B2CF9AE}" pid="7" name="MSIP_Label_f1bf45b6-5649-4236-82a3-f45024cd282e_SetDate">
    <vt:lpwstr>2026-03-03T18:08:09Z</vt:lpwstr>
  </property>
  <property fmtid="{D5CDD505-2E9C-101B-9397-08002B2CF9AE}" pid="8" name="ContentTypeId">
    <vt:lpwstr>0x01010081BD599690930048808FD2CB18178816</vt:lpwstr>
  </property>
  <property fmtid="{D5CDD505-2E9C-101B-9397-08002B2CF9AE}" pid="9" name="MSIP_Label_f1bf45b6-5649-4236-82a3-f45024cd282e_ContentBits">
    <vt:lpwstr>2</vt:lpwstr>
  </property>
  <property fmtid="{D5CDD505-2E9C-101B-9397-08002B2CF9AE}" pid="10" name="MSIP_Label_f1bf45b6-5649-4236-82a3-f45024cd282e_Tag">
    <vt:lpwstr>10, 3, 0, 1</vt:lpwstr>
  </property>
  <property fmtid="{D5CDD505-2E9C-101B-9397-08002B2CF9AE}" pid="11" name="docLang">
    <vt:lpwstr>en</vt:lpwstr>
  </property>
  <property fmtid="{D5CDD505-2E9C-101B-9397-08002B2CF9AE}" pid="12" name="ClassificationContentMarkingFooterShapeIds">
    <vt:lpwstr>2faee190,4f2e61da,4ccedbb7</vt:lpwstr>
  </property>
  <property fmtid="{D5CDD505-2E9C-101B-9397-08002B2CF9AE}" pid="13" name="ClassificationContentMarkingFooterFontProps">
    <vt:lpwstr>#000000,10,Aptos</vt:lpwstr>
  </property>
  <property fmtid="{D5CDD505-2E9C-101B-9397-08002B2CF9AE}" pid="14" name="MSIP_Label_f1bf45b6-5649-4236-82a3-f45024cd282e_SiteId">
    <vt:lpwstr>31a2fec0-266b-4c67-b56e-2796d8f59c36</vt:lpwstr>
  </property>
  <property fmtid="{D5CDD505-2E9C-101B-9397-08002B2CF9AE}" pid="15" name="MSIP_Label_f1bf45b6-5649-4236-82a3-f45024cd282e_Method">
    <vt:lpwstr>Standard</vt:lpwstr>
  </property>
  <property fmtid="{D5CDD505-2E9C-101B-9397-08002B2CF9AE}" pid="16" name="_dlc_DocIdItemGuid">
    <vt:lpwstr>9e3a3c17-4248-4071-b84f-a64ebaa43922</vt:lpwstr>
  </property>
</Properties>
</file>